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9115" w14:textId="42B641BA" w:rsidR="001E544D" w:rsidRPr="001E544D" w:rsidRDefault="00504413" w:rsidP="00504413">
      <w:pPr>
        <w:spacing w:line="240" w:lineRule="auto"/>
        <w:contextualSpacing/>
        <w:rPr>
          <w:sz w:val="24"/>
          <w:szCs w:val="24"/>
        </w:rPr>
      </w:pPr>
      <w:r>
        <w:rPr>
          <w:b/>
          <w:bCs/>
          <w:sz w:val="24"/>
          <w:szCs w:val="24"/>
        </w:rPr>
        <w:t>P</w:t>
      </w:r>
      <w:r w:rsidR="001E544D" w:rsidRPr="001E544D">
        <w:rPr>
          <w:b/>
          <w:bCs/>
          <w:sz w:val="24"/>
          <w:szCs w:val="24"/>
        </w:rPr>
        <w:t>ART I – GENERAL</w:t>
      </w:r>
    </w:p>
    <w:p w14:paraId="062CBC52" w14:textId="4B1795AA" w:rsidR="001E544D" w:rsidRDefault="001E544D" w:rsidP="001E544D">
      <w:pPr>
        <w:pStyle w:val="ListParagraph"/>
        <w:numPr>
          <w:ilvl w:val="1"/>
          <w:numId w:val="1"/>
        </w:numPr>
        <w:spacing w:before="240"/>
        <w:contextualSpacing w:val="0"/>
        <w:rPr>
          <w:sz w:val="24"/>
          <w:szCs w:val="24"/>
        </w:rPr>
      </w:pPr>
      <w:r>
        <w:rPr>
          <w:sz w:val="24"/>
          <w:szCs w:val="24"/>
        </w:rPr>
        <w:t>SCOPE</w:t>
      </w:r>
    </w:p>
    <w:p w14:paraId="2BBB0CD3" w14:textId="71D231C5" w:rsidR="001E544D" w:rsidRDefault="001E544D" w:rsidP="001E544D">
      <w:pPr>
        <w:pStyle w:val="ListParagraph"/>
        <w:numPr>
          <w:ilvl w:val="2"/>
          <w:numId w:val="1"/>
        </w:numPr>
        <w:spacing w:before="240"/>
        <w:contextualSpacing w:val="0"/>
        <w:rPr>
          <w:sz w:val="24"/>
          <w:szCs w:val="24"/>
        </w:rPr>
      </w:pPr>
      <w:r>
        <w:rPr>
          <w:sz w:val="24"/>
          <w:szCs w:val="24"/>
        </w:rPr>
        <w:t xml:space="preserve">This section includes gas-fired, positive pressure, </w:t>
      </w:r>
      <w:r w:rsidR="00A21D8B">
        <w:rPr>
          <w:sz w:val="24"/>
          <w:szCs w:val="24"/>
        </w:rPr>
        <w:t xml:space="preserve">two stage, </w:t>
      </w:r>
      <w:r>
        <w:rPr>
          <w:sz w:val="24"/>
          <w:szCs w:val="24"/>
        </w:rPr>
        <w:t>low intensity tubular radiant heaters.</w:t>
      </w:r>
    </w:p>
    <w:p w14:paraId="5C6B13B0" w14:textId="52476A31" w:rsidR="001E544D" w:rsidRDefault="001E544D" w:rsidP="001E544D">
      <w:pPr>
        <w:pStyle w:val="ListParagraph"/>
        <w:numPr>
          <w:ilvl w:val="1"/>
          <w:numId w:val="1"/>
        </w:numPr>
        <w:spacing w:before="240"/>
        <w:contextualSpacing w:val="0"/>
        <w:rPr>
          <w:sz w:val="24"/>
          <w:szCs w:val="24"/>
        </w:rPr>
      </w:pPr>
      <w:r>
        <w:rPr>
          <w:sz w:val="24"/>
          <w:szCs w:val="24"/>
        </w:rPr>
        <w:t>SUBMITTALS</w:t>
      </w:r>
      <w:r w:rsidR="00CD7631">
        <w:rPr>
          <w:sz w:val="24"/>
          <w:szCs w:val="24"/>
        </w:rPr>
        <w:t xml:space="preserve"> </w:t>
      </w:r>
    </w:p>
    <w:p w14:paraId="46FD4E5E" w14:textId="4EBCFBF1" w:rsidR="001E544D" w:rsidRDefault="001E544D" w:rsidP="001E544D">
      <w:pPr>
        <w:pStyle w:val="ListParagraph"/>
        <w:numPr>
          <w:ilvl w:val="2"/>
          <w:numId w:val="1"/>
        </w:numPr>
        <w:spacing w:before="240"/>
        <w:contextualSpacing w:val="0"/>
        <w:rPr>
          <w:sz w:val="24"/>
          <w:szCs w:val="24"/>
        </w:rPr>
      </w:pPr>
      <w:r>
        <w:rPr>
          <w:sz w:val="24"/>
          <w:szCs w:val="24"/>
        </w:rPr>
        <w:t>Product Data: For each type of gas-fired radiant heater indicated, include rated capacities, operating characteristics, and optional accessories.</w:t>
      </w:r>
    </w:p>
    <w:p w14:paraId="431A274A" w14:textId="308EADBA" w:rsidR="001E544D" w:rsidRDefault="001E544D" w:rsidP="001E544D">
      <w:pPr>
        <w:pStyle w:val="ListParagraph"/>
        <w:numPr>
          <w:ilvl w:val="2"/>
          <w:numId w:val="1"/>
        </w:numPr>
        <w:spacing w:before="240"/>
        <w:contextualSpacing w:val="0"/>
        <w:rPr>
          <w:sz w:val="24"/>
          <w:szCs w:val="24"/>
        </w:rPr>
      </w:pPr>
      <w:r>
        <w:rPr>
          <w:sz w:val="24"/>
          <w:szCs w:val="24"/>
        </w:rPr>
        <w:t xml:space="preserve">Shop Drawings: Include plans, elevations, sections, details, and attachments to other work. </w:t>
      </w:r>
    </w:p>
    <w:p w14:paraId="6CAB89CA" w14:textId="76BFED0E" w:rsidR="001E544D" w:rsidRDefault="006233FC" w:rsidP="001E544D">
      <w:pPr>
        <w:pStyle w:val="ListParagraph"/>
        <w:numPr>
          <w:ilvl w:val="2"/>
          <w:numId w:val="1"/>
        </w:numPr>
        <w:spacing w:before="240"/>
        <w:contextualSpacing w:val="0"/>
        <w:rPr>
          <w:sz w:val="24"/>
          <w:szCs w:val="24"/>
        </w:rPr>
      </w:pPr>
      <w:r>
        <w:rPr>
          <w:sz w:val="24"/>
          <w:szCs w:val="24"/>
        </w:rPr>
        <w:t xml:space="preserve">Equipment </w:t>
      </w:r>
      <w:r w:rsidR="001E544D">
        <w:rPr>
          <w:sz w:val="24"/>
          <w:szCs w:val="24"/>
        </w:rPr>
        <w:t>Detail</w:t>
      </w:r>
      <w:r>
        <w:rPr>
          <w:sz w:val="24"/>
          <w:szCs w:val="24"/>
        </w:rPr>
        <w:t xml:space="preserve">: </w:t>
      </w:r>
      <w:r w:rsidR="00A21D8B">
        <w:rPr>
          <w:sz w:val="24"/>
          <w:szCs w:val="24"/>
        </w:rPr>
        <w:t>I</w:t>
      </w:r>
      <w:r w:rsidR="001E544D">
        <w:rPr>
          <w:sz w:val="24"/>
          <w:szCs w:val="24"/>
        </w:rPr>
        <w:t xml:space="preserve">ndicate dimensions, weights, loads, required clearances, method of field assembly, components, and location </w:t>
      </w:r>
      <w:r w:rsidR="003F01BD">
        <w:rPr>
          <w:sz w:val="24"/>
          <w:szCs w:val="24"/>
        </w:rPr>
        <w:t>and size of field connection.</w:t>
      </w:r>
      <w:r w:rsidR="001E544D">
        <w:rPr>
          <w:sz w:val="24"/>
          <w:szCs w:val="24"/>
        </w:rPr>
        <w:t xml:space="preserve"> </w:t>
      </w:r>
    </w:p>
    <w:p w14:paraId="46DB9AE1" w14:textId="2D986903" w:rsidR="001E544D" w:rsidRDefault="001E544D" w:rsidP="001E544D">
      <w:pPr>
        <w:pStyle w:val="ListParagraph"/>
        <w:numPr>
          <w:ilvl w:val="1"/>
          <w:numId w:val="1"/>
        </w:numPr>
        <w:spacing w:before="240"/>
        <w:contextualSpacing w:val="0"/>
        <w:rPr>
          <w:sz w:val="24"/>
          <w:szCs w:val="24"/>
        </w:rPr>
      </w:pPr>
      <w:r>
        <w:rPr>
          <w:sz w:val="24"/>
          <w:szCs w:val="24"/>
        </w:rPr>
        <w:t>DRAWINGS</w:t>
      </w:r>
    </w:p>
    <w:p w14:paraId="4B016B1C" w14:textId="39E5C923" w:rsidR="001E544D" w:rsidRDefault="001E544D" w:rsidP="001E544D">
      <w:pPr>
        <w:pStyle w:val="ListParagraph"/>
        <w:numPr>
          <w:ilvl w:val="2"/>
          <w:numId w:val="1"/>
        </w:numPr>
        <w:spacing w:before="240"/>
        <w:contextualSpacing w:val="0"/>
        <w:rPr>
          <w:sz w:val="24"/>
          <w:szCs w:val="24"/>
        </w:rPr>
      </w:pPr>
      <w:r>
        <w:rPr>
          <w:sz w:val="24"/>
          <w:szCs w:val="24"/>
        </w:rPr>
        <w:t>Coordination Drawings: Include plans, elevations, and other details, drawn to scale, on which the following items are shown and coordinated with each other, based on input from installers of the items involved:</w:t>
      </w:r>
    </w:p>
    <w:p w14:paraId="3F620A73" w14:textId="2B268367" w:rsidR="001E544D" w:rsidRDefault="003F01BD" w:rsidP="001E544D">
      <w:pPr>
        <w:pStyle w:val="ListParagraph"/>
        <w:numPr>
          <w:ilvl w:val="3"/>
          <w:numId w:val="1"/>
        </w:numPr>
        <w:spacing w:after="0"/>
        <w:contextualSpacing w:val="0"/>
        <w:rPr>
          <w:sz w:val="24"/>
          <w:szCs w:val="24"/>
        </w:rPr>
      </w:pPr>
      <w:r>
        <w:rPr>
          <w:sz w:val="24"/>
          <w:szCs w:val="24"/>
        </w:rPr>
        <w:t>Illustrations showing how and where equipment shall be applied.</w:t>
      </w:r>
    </w:p>
    <w:p w14:paraId="7C1EACBA" w14:textId="3A0DB0BF" w:rsidR="001E544D" w:rsidRDefault="001E544D" w:rsidP="001E544D">
      <w:pPr>
        <w:pStyle w:val="ListParagraph"/>
        <w:numPr>
          <w:ilvl w:val="3"/>
          <w:numId w:val="1"/>
        </w:numPr>
        <w:spacing w:after="0"/>
        <w:contextualSpacing w:val="0"/>
        <w:rPr>
          <w:sz w:val="24"/>
          <w:szCs w:val="24"/>
        </w:rPr>
      </w:pPr>
      <w:r>
        <w:rPr>
          <w:sz w:val="24"/>
          <w:szCs w:val="24"/>
        </w:rPr>
        <w:t>Wall or roof penetrations for purposes of depicting the location of either (both) supply air intake or exhaust venting.</w:t>
      </w:r>
    </w:p>
    <w:p w14:paraId="3A42737E" w14:textId="59E1D0B4" w:rsidR="001E544D" w:rsidRDefault="001E544D" w:rsidP="001E544D">
      <w:pPr>
        <w:pStyle w:val="ListParagraph"/>
        <w:numPr>
          <w:ilvl w:val="3"/>
          <w:numId w:val="1"/>
        </w:numPr>
        <w:spacing w:after="0"/>
        <w:contextualSpacing w:val="0"/>
        <w:rPr>
          <w:sz w:val="24"/>
          <w:szCs w:val="24"/>
        </w:rPr>
      </w:pPr>
      <w:r>
        <w:rPr>
          <w:sz w:val="24"/>
          <w:szCs w:val="24"/>
        </w:rPr>
        <w:t xml:space="preserve">Gas piping size </w:t>
      </w:r>
      <w:r w:rsidR="003F01BD">
        <w:rPr>
          <w:sz w:val="24"/>
          <w:szCs w:val="24"/>
        </w:rPr>
        <w:t>and appliance connections.</w:t>
      </w:r>
      <w:r>
        <w:rPr>
          <w:sz w:val="24"/>
          <w:szCs w:val="24"/>
        </w:rPr>
        <w:t xml:space="preserve"> </w:t>
      </w:r>
    </w:p>
    <w:p w14:paraId="78AAC8C4" w14:textId="72901437" w:rsidR="001E544D" w:rsidRDefault="001E544D" w:rsidP="001E544D">
      <w:pPr>
        <w:pStyle w:val="ListParagraph"/>
        <w:numPr>
          <w:ilvl w:val="3"/>
          <w:numId w:val="1"/>
        </w:numPr>
        <w:spacing w:after="0"/>
        <w:contextualSpacing w:val="0"/>
        <w:rPr>
          <w:sz w:val="24"/>
          <w:szCs w:val="24"/>
        </w:rPr>
      </w:pPr>
      <w:r>
        <w:rPr>
          <w:sz w:val="24"/>
          <w:szCs w:val="24"/>
        </w:rPr>
        <w:t xml:space="preserve">Thermostat (controls) placement with </w:t>
      </w:r>
      <w:r w:rsidR="00C45768">
        <w:rPr>
          <w:sz w:val="24"/>
          <w:szCs w:val="24"/>
        </w:rPr>
        <w:t>applicable wiring diagram detail.</w:t>
      </w:r>
      <w:r>
        <w:rPr>
          <w:sz w:val="24"/>
          <w:szCs w:val="24"/>
        </w:rPr>
        <w:t xml:space="preserve"> </w:t>
      </w:r>
    </w:p>
    <w:p w14:paraId="48AD7681" w14:textId="3BCEBED8" w:rsidR="001E544D" w:rsidRDefault="00790216" w:rsidP="001E544D">
      <w:pPr>
        <w:pStyle w:val="ListParagraph"/>
        <w:numPr>
          <w:ilvl w:val="1"/>
          <w:numId w:val="1"/>
        </w:numPr>
        <w:spacing w:before="240"/>
        <w:contextualSpacing w:val="0"/>
        <w:rPr>
          <w:sz w:val="24"/>
          <w:szCs w:val="24"/>
        </w:rPr>
      </w:pPr>
      <w:r>
        <w:rPr>
          <w:sz w:val="24"/>
          <w:szCs w:val="24"/>
        </w:rPr>
        <w:t>LIMITED WARRANTY</w:t>
      </w:r>
    </w:p>
    <w:p w14:paraId="62C8F399" w14:textId="38A73892" w:rsidR="006E534E" w:rsidRDefault="001E544D" w:rsidP="006E534E">
      <w:pPr>
        <w:pStyle w:val="ListParagraph"/>
        <w:numPr>
          <w:ilvl w:val="2"/>
          <w:numId w:val="1"/>
        </w:numPr>
        <w:spacing w:before="240"/>
        <w:contextualSpacing w:val="0"/>
        <w:rPr>
          <w:sz w:val="24"/>
          <w:szCs w:val="24"/>
        </w:rPr>
      </w:pPr>
      <w:r>
        <w:rPr>
          <w:sz w:val="24"/>
          <w:szCs w:val="24"/>
        </w:rPr>
        <w:t xml:space="preserve">Manufacturer shall provide a Limited Appliance Warranty no less than: three (3) years on all internal </w:t>
      </w:r>
      <w:r w:rsidR="00A21D8B">
        <w:rPr>
          <w:sz w:val="24"/>
          <w:szCs w:val="24"/>
        </w:rPr>
        <w:t xml:space="preserve">control </w:t>
      </w:r>
      <w:r>
        <w:rPr>
          <w:sz w:val="24"/>
          <w:szCs w:val="24"/>
        </w:rPr>
        <w:t xml:space="preserve">components, five (5) years on radiant pipe exchangers, and ten (10) years on stainless steel burner from date of substantial completion. </w:t>
      </w:r>
    </w:p>
    <w:p w14:paraId="5EEF66D1" w14:textId="011ED216" w:rsidR="002F1A77" w:rsidRDefault="002F1A77">
      <w:pPr>
        <w:rPr>
          <w:sz w:val="24"/>
          <w:szCs w:val="24"/>
        </w:rPr>
      </w:pPr>
      <w:r>
        <w:rPr>
          <w:sz w:val="24"/>
          <w:szCs w:val="24"/>
        </w:rPr>
        <w:br w:type="page"/>
      </w:r>
    </w:p>
    <w:p w14:paraId="550B4E20" w14:textId="2E57CEBE" w:rsidR="001E544D" w:rsidRPr="006077AA" w:rsidRDefault="001E544D" w:rsidP="00A25390">
      <w:pPr>
        <w:pStyle w:val="ListParagraph"/>
        <w:spacing w:before="240" w:line="240" w:lineRule="auto"/>
        <w:ind w:left="0"/>
        <w:rPr>
          <w:sz w:val="24"/>
          <w:szCs w:val="24"/>
        </w:rPr>
      </w:pPr>
      <w:r>
        <w:rPr>
          <w:b/>
          <w:bCs/>
          <w:sz w:val="24"/>
          <w:szCs w:val="24"/>
        </w:rPr>
        <w:lastRenderedPageBreak/>
        <w:t>PART II – EQUIPMENT</w:t>
      </w:r>
    </w:p>
    <w:p w14:paraId="71FC40A1" w14:textId="77777777" w:rsidR="006077AA" w:rsidRDefault="006077AA" w:rsidP="006077AA">
      <w:pPr>
        <w:pStyle w:val="ListParagraph"/>
        <w:numPr>
          <w:ilvl w:val="0"/>
          <w:numId w:val="1"/>
        </w:numPr>
        <w:spacing w:before="240" w:line="240" w:lineRule="auto"/>
        <w:rPr>
          <w:sz w:val="24"/>
          <w:szCs w:val="24"/>
        </w:rPr>
      </w:pPr>
    </w:p>
    <w:p w14:paraId="1A467996" w14:textId="77777777" w:rsidR="001E544D" w:rsidRPr="001E544D" w:rsidRDefault="001E544D" w:rsidP="006077AA">
      <w:pPr>
        <w:pStyle w:val="ListParagraph"/>
        <w:numPr>
          <w:ilvl w:val="1"/>
          <w:numId w:val="1"/>
        </w:numPr>
        <w:spacing w:before="240" w:line="240" w:lineRule="auto"/>
        <w:rPr>
          <w:vanish/>
          <w:sz w:val="24"/>
          <w:szCs w:val="24"/>
        </w:rPr>
      </w:pPr>
    </w:p>
    <w:p w14:paraId="7FDD1312" w14:textId="270A4015" w:rsidR="001E544D" w:rsidRDefault="00C45768" w:rsidP="006077AA">
      <w:pPr>
        <w:pStyle w:val="ListParagraph"/>
        <w:numPr>
          <w:ilvl w:val="1"/>
          <w:numId w:val="2"/>
        </w:numPr>
        <w:spacing w:before="240" w:line="240" w:lineRule="auto"/>
        <w:contextualSpacing w:val="0"/>
        <w:rPr>
          <w:sz w:val="24"/>
          <w:szCs w:val="24"/>
        </w:rPr>
      </w:pPr>
      <w:r>
        <w:rPr>
          <w:sz w:val="24"/>
          <w:szCs w:val="24"/>
        </w:rPr>
        <w:t>APPLIANCE CONSTRUCTION STANDARDS</w:t>
      </w:r>
    </w:p>
    <w:p w14:paraId="041B2326" w14:textId="3801EFEB" w:rsidR="006233FC" w:rsidRDefault="006233FC" w:rsidP="006077AA">
      <w:pPr>
        <w:pStyle w:val="ListParagraph"/>
        <w:numPr>
          <w:ilvl w:val="2"/>
          <w:numId w:val="2"/>
        </w:numPr>
        <w:spacing w:before="240"/>
        <w:contextualSpacing w:val="0"/>
        <w:rPr>
          <w:sz w:val="24"/>
          <w:szCs w:val="24"/>
        </w:rPr>
      </w:pPr>
      <w:r>
        <w:rPr>
          <w:sz w:val="24"/>
          <w:szCs w:val="24"/>
        </w:rPr>
        <w:t xml:space="preserve">Equipment shall be certified to the ANSI Z83.20 standard and bear the CSA mark for </w:t>
      </w:r>
      <w:r w:rsidR="00A21D8B">
        <w:rPr>
          <w:sz w:val="24"/>
          <w:szCs w:val="24"/>
        </w:rPr>
        <w:t>[United States] [Canada].</w:t>
      </w:r>
    </w:p>
    <w:p w14:paraId="202027E6" w14:textId="77777777" w:rsidR="006233FC" w:rsidRDefault="006233FC" w:rsidP="006233FC">
      <w:pPr>
        <w:pStyle w:val="ListParagraph"/>
        <w:numPr>
          <w:ilvl w:val="2"/>
          <w:numId w:val="2"/>
        </w:numPr>
        <w:spacing w:before="240"/>
        <w:contextualSpacing w:val="0"/>
        <w:rPr>
          <w:sz w:val="24"/>
          <w:szCs w:val="24"/>
        </w:rPr>
      </w:pPr>
      <w:r>
        <w:rPr>
          <w:sz w:val="24"/>
          <w:szCs w:val="24"/>
        </w:rPr>
        <w:t>Electrical Components, Devices, and Accessories: Listed and labeled as defined in NFPA 70, Article 100, by a testing agency acceptable to authorities having jurisdiction, and marked for intended use.</w:t>
      </w:r>
    </w:p>
    <w:p w14:paraId="08385024" w14:textId="77777777" w:rsidR="006233FC" w:rsidRDefault="00912D16" w:rsidP="006233FC">
      <w:pPr>
        <w:pStyle w:val="ListParagraph"/>
        <w:numPr>
          <w:ilvl w:val="1"/>
          <w:numId w:val="2"/>
        </w:numPr>
        <w:spacing w:before="240"/>
        <w:contextualSpacing w:val="0"/>
        <w:rPr>
          <w:sz w:val="24"/>
          <w:szCs w:val="24"/>
        </w:rPr>
      </w:pPr>
      <w:r>
        <w:rPr>
          <w:sz w:val="24"/>
          <w:szCs w:val="24"/>
        </w:rPr>
        <w:t>APPLIANCE APPLICATION STANDARDS</w:t>
      </w:r>
    </w:p>
    <w:p w14:paraId="7ABABFC4" w14:textId="08AF389D" w:rsidR="006233FC" w:rsidRPr="00621DFD" w:rsidRDefault="006233FC" w:rsidP="006233FC">
      <w:pPr>
        <w:pStyle w:val="ListParagraph"/>
        <w:numPr>
          <w:ilvl w:val="2"/>
          <w:numId w:val="2"/>
        </w:numPr>
        <w:spacing w:before="240"/>
        <w:contextualSpacing w:val="0"/>
        <w:rPr>
          <w:sz w:val="24"/>
          <w:szCs w:val="24"/>
        </w:rPr>
      </w:pPr>
      <w:r w:rsidRPr="006233FC">
        <w:rPr>
          <w:sz w:val="24"/>
          <w:szCs w:val="24"/>
        </w:rPr>
        <w:t xml:space="preserve">Installation of this </w:t>
      </w:r>
      <w:r w:rsidRPr="00621DFD">
        <w:rPr>
          <w:sz w:val="24"/>
          <w:szCs w:val="24"/>
        </w:rPr>
        <w:t xml:space="preserve">heater must comply with all applicable local, state, and national specifications, regulations, and building codes. In the absence of local codes, the installation must conform to the latest edition of: </w:t>
      </w:r>
    </w:p>
    <w:p w14:paraId="00CD9B11" w14:textId="77777777" w:rsidR="006233FC" w:rsidRPr="00621DFD" w:rsidRDefault="006233FC" w:rsidP="006233FC">
      <w:pPr>
        <w:pStyle w:val="ListParagraph"/>
        <w:numPr>
          <w:ilvl w:val="3"/>
          <w:numId w:val="2"/>
        </w:numPr>
        <w:spacing w:before="240" w:line="240" w:lineRule="auto"/>
        <w:rPr>
          <w:sz w:val="24"/>
          <w:szCs w:val="24"/>
        </w:rPr>
      </w:pPr>
      <w:r w:rsidRPr="00621DFD">
        <w:rPr>
          <w:sz w:val="24"/>
          <w:szCs w:val="24"/>
        </w:rPr>
        <w:t xml:space="preserve">United States: National Fuel Gas Code, ANSI Z223.1 (NFPA 54). </w:t>
      </w:r>
    </w:p>
    <w:p w14:paraId="6D3CAD5E" w14:textId="6EA2D0E7" w:rsidR="006233FC" w:rsidRPr="00621DFD" w:rsidRDefault="006233FC" w:rsidP="006233FC">
      <w:pPr>
        <w:pStyle w:val="ListParagraph"/>
        <w:numPr>
          <w:ilvl w:val="3"/>
          <w:numId w:val="2"/>
        </w:numPr>
        <w:spacing w:before="240" w:line="240" w:lineRule="auto"/>
        <w:rPr>
          <w:sz w:val="24"/>
          <w:szCs w:val="24"/>
        </w:rPr>
      </w:pPr>
      <w:r w:rsidRPr="00621DFD">
        <w:rPr>
          <w:sz w:val="24"/>
          <w:szCs w:val="24"/>
        </w:rPr>
        <w:t>Canada: CAN/CGA B149.1 and .2, Canadian Electrical Code C22.1</w:t>
      </w:r>
    </w:p>
    <w:p w14:paraId="77352C2B" w14:textId="318D624B" w:rsidR="006233FC" w:rsidRPr="00621DFD" w:rsidRDefault="006233FC" w:rsidP="006233FC">
      <w:pPr>
        <w:pStyle w:val="ListParagraph"/>
        <w:spacing w:before="240" w:line="240" w:lineRule="auto"/>
        <w:ind w:left="1080"/>
        <w:rPr>
          <w:sz w:val="24"/>
          <w:szCs w:val="24"/>
        </w:rPr>
      </w:pPr>
    </w:p>
    <w:p w14:paraId="26D6740D" w14:textId="2EB0E64C" w:rsidR="006233FC" w:rsidRDefault="006233FC" w:rsidP="006233FC">
      <w:pPr>
        <w:pStyle w:val="ListParagraph"/>
        <w:numPr>
          <w:ilvl w:val="2"/>
          <w:numId w:val="2"/>
        </w:numPr>
        <w:spacing w:before="240" w:line="240" w:lineRule="auto"/>
        <w:rPr>
          <w:sz w:val="24"/>
          <w:szCs w:val="24"/>
        </w:rPr>
      </w:pPr>
      <w:r>
        <w:rPr>
          <w:sz w:val="24"/>
          <w:szCs w:val="24"/>
        </w:rPr>
        <w:t xml:space="preserve">When applicable, follow building specific </w:t>
      </w:r>
      <w:r w:rsidR="006077AA">
        <w:rPr>
          <w:sz w:val="24"/>
          <w:szCs w:val="24"/>
        </w:rPr>
        <w:t>codes and regulations as dictated in the heater</w:t>
      </w:r>
      <w:r w:rsidR="005F5CD4">
        <w:rPr>
          <w:sz w:val="24"/>
          <w:szCs w:val="24"/>
        </w:rPr>
        <w:t>’</w:t>
      </w:r>
      <w:r w:rsidR="006077AA">
        <w:rPr>
          <w:sz w:val="24"/>
          <w:szCs w:val="24"/>
        </w:rPr>
        <w:t>s Installation, Operation and Maintenance Manual (IOPM).</w:t>
      </w:r>
    </w:p>
    <w:p w14:paraId="53D98DEB" w14:textId="77777777" w:rsidR="006233FC" w:rsidRPr="006233FC" w:rsidRDefault="006233FC" w:rsidP="006077AA">
      <w:pPr>
        <w:pStyle w:val="ListParagraph"/>
        <w:spacing w:before="240" w:line="240" w:lineRule="auto"/>
        <w:ind w:left="2088"/>
        <w:rPr>
          <w:sz w:val="24"/>
          <w:szCs w:val="24"/>
        </w:rPr>
      </w:pPr>
    </w:p>
    <w:p w14:paraId="7DF98AD1" w14:textId="7EC3B6AC" w:rsidR="00912D16" w:rsidRDefault="001E544D" w:rsidP="00912D16">
      <w:pPr>
        <w:pStyle w:val="ListParagraph"/>
        <w:numPr>
          <w:ilvl w:val="1"/>
          <w:numId w:val="2"/>
        </w:numPr>
        <w:spacing w:before="240"/>
        <w:contextualSpacing w:val="0"/>
        <w:rPr>
          <w:sz w:val="24"/>
          <w:szCs w:val="24"/>
        </w:rPr>
      </w:pPr>
      <w:r>
        <w:rPr>
          <w:sz w:val="24"/>
          <w:szCs w:val="24"/>
        </w:rPr>
        <w:t xml:space="preserve">APPLIANCE </w:t>
      </w:r>
      <w:r w:rsidR="00912D16">
        <w:rPr>
          <w:sz w:val="24"/>
          <w:szCs w:val="24"/>
        </w:rPr>
        <w:t>PERFORMANCE</w:t>
      </w:r>
      <w:r>
        <w:rPr>
          <w:sz w:val="24"/>
          <w:szCs w:val="24"/>
        </w:rPr>
        <w:t xml:space="preserve"> STANDARD</w:t>
      </w:r>
      <w:r w:rsidR="00912D16">
        <w:rPr>
          <w:sz w:val="24"/>
          <w:szCs w:val="24"/>
        </w:rPr>
        <w:t>S</w:t>
      </w:r>
    </w:p>
    <w:p w14:paraId="7CC48AAB" w14:textId="0471EE21" w:rsidR="00912D16" w:rsidRDefault="006077AA" w:rsidP="00912D16">
      <w:pPr>
        <w:pStyle w:val="ListParagraph"/>
        <w:numPr>
          <w:ilvl w:val="2"/>
          <w:numId w:val="2"/>
        </w:numPr>
        <w:spacing w:before="240"/>
        <w:contextualSpacing w:val="0"/>
        <w:rPr>
          <w:sz w:val="24"/>
          <w:szCs w:val="24"/>
        </w:rPr>
      </w:pPr>
      <w:r>
        <w:rPr>
          <w:sz w:val="24"/>
          <w:szCs w:val="24"/>
        </w:rPr>
        <w:t>Appliance m</w:t>
      </w:r>
      <w:r w:rsidR="00912D16">
        <w:rPr>
          <w:sz w:val="24"/>
          <w:szCs w:val="24"/>
        </w:rPr>
        <w:t>anufacturer</w:t>
      </w:r>
      <w:r>
        <w:rPr>
          <w:sz w:val="24"/>
          <w:szCs w:val="24"/>
        </w:rPr>
        <w:t xml:space="preserve"> shall be equipped with a Radiant Efficiency testing apparatus capable of providing model specific Radiant Efficiency Values (aka–Infrared Factor (IF) or Radiant Emission Value (REV) as per the requirements stated in the AHR Standard 1330-2015/18.  </w:t>
      </w:r>
    </w:p>
    <w:p w14:paraId="4CD30D89" w14:textId="5FAD4E54" w:rsidR="00912D16" w:rsidRDefault="00912D16" w:rsidP="00912D16">
      <w:pPr>
        <w:pStyle w:val="ListParagraph"/>
        <w:numPr>
          <w:ilvl w:val="2"/>
          <w:numId w:val="2"/>
        </w:numPr>
        <w:spacing w:before="240"/>
        <w:contextualSpacing w:val="0"/>
        <w:rPr>
          <w:sz w:val="24"/>
          <w:szCs w:val="24"/>
        </w:rPr>
      </w:pPr>
      <w:r>
        <w:rPr>
          <w:sz w:val="24"/>
          <w:szCs w:val="24"/>
        </w:rPr>
        <w:t>Radiant Efficiency shall be reported in accordance with AHRI Standard 1330-2015, Section 7 and must include the following</w:t>
      </w:r>
      <w:r w:rsidR="006077AA">
        <w:rPr>
          <w:sz w:val="24"/>
          <w:szCs w:val="24"/>
        </w:rPr>
        <w:t xml:space="preserve"> reporting criteria</w:t>
      </w:r>
      <w:r>
        <w:rPr>
          <w:sz w:val="24"/>
          <w:szCs w:val="24"/>
        </w:rPr>
        <w:t>:</w:t>
      </w:r>
    </w:p>
    <w:p w14:paraId="2DCB9B23" w14:textId="77777777" w:rsidR="00912D16" w:rsidRDefault="00912D16" w:rsidP="00912D16">
      <w:pPr>
        <w:pStyle w:val="ListParagraph"/>
        <w:numPr>
          <w:ilvl w:val="3"/>
          <w:numId w:val="2"/>
        </w:numPr>
        <w:spacing w:before="240"/>
        <w:rPr>
          <w:sz w:val="24"/>
          <w:szCs w:val="24"/>
        </w:rPr>
      </w:pPr>
      <w:r>
        <w:rPr>
          <w:sz w:val="24"/>
          <w:szCs w:val="24"/>
        </w:rPr>
        <w:t>Model Number</w:t>
      </w:r>
    </w:p>
    <w:p w14:paraId="606BA7FF" w14:textId="28AC046B" w:rsidR="00912D16" w:rsidRDefault="00912D16" w:rsidP="00912D16">
      <w:pPr>
        <w:pStyle w:val="ListParagraph"/>
        <w:numPr>
          <w:ilvl w:val="3"/>
          <w:numId w:val="2"/>
        </w:numPr>
        <w:spacing w:before="240"/>
        <w:rPr>
          <w:sz w:val="24"/>
          <w:szCs w:val="24"/>
        </w:rPr>
      </w:pPr>
      <w:r>
        <w:rPr>
          <w:sz w:val="24"/>
          <w:szCs w:val="24"/>
        </w:rPr>
        <w:t xml:space="preserve">Heat </w:t>
      </w:r>
      <w:r w:rsidR="00A21D8B">
        <w:rPr>
          <w:sz w:val="24"/>
          <w:szCs w:val="24"/>
        </w:rPr>
        <w:t>I</w:t>
      </w:r>
      <w:r>
        <w:rPr>
          <w:sz w:val="24"/>
          <w:szCs w:val="24"/>
        </w:rPr>
        <w:t>nput, kW (BTU/h)</w:t>
      </w:r>
    </w:p>
    <w:p w14:paraId="49CE1D2E" w14:textId="2DEF5E9E" w:rsidR="00912D16" w:rsidRDefault="00912D16" w:rsidP="00912D16">
      <w:pPr>
        <w:pStyle w:val="ListParagraph"/>
        <w:numPr>
          <w:ilvl w:val="3"/>
          <w:numId w:val="2"/>
        </w:numPr>
        <w:spacing w:before="240"/>
        <w:rPr>
          <w:sz w:val="24"/>
          <w:szCs w:val="24"/>
        </w:rPr>
      </w:pPr>
      <w:r>
        <w:rPr>
          <w:sz w:val="24"/>
          <w:szCs w:val="24"/>
        </w:rPr>
        <w:t xml:space="preserve">Length of </w:t>
      </w:r>
      <w:r w:rsidR="00A21D8B">
        <w:rPr>
          <w:sz w:val="24"/>
          <w:szCs w:val="24"/>
        </w:rPr>
        <w:t>H</w:t>
      </w:r>
      <w:r>
        <w:rPr>
          <w:sz w:val="24"/>
          <w:szCs w:val="24"/>
        </w:rPr>
        <w:t xml:space="preserve">eat </w:t>
      </w:r>
      <w:r w:rsidR="00A21D8B">
        <w:rPr>
          <w:sz w:val="24"/>
          <w:szCs w:val="24"/>
        </w:rPr>
        <w:t>E</w:t>
      </w:r>
      <w:r>
        <w:rPr>
          <w:sz w:val="24"/>
          <w:szCs w:val="24"/>
        </w:rPr>
        <w:t xml:space="preserve">xchanger </w:t>
      </w:r>
      <w:r w:rsidR="00A21D8B">
        <w:rPr>
          <w:sz w:val="24"/>
          <w:szCs w:val="24"/>
        </w:rPr>
        <w:t>T</w:t>
      </w:r>
      <w:r>
        <w:rPr>
          <w:sz w:val="24"/>
          <w:szCs w:val="24"/>
        </w:rPr>
        <w:t>ube</w:t>
      </w:r>
    </w:p>
    <w:p w14:paraId="00F171FE" w14:textId="77777777" w:rsidR="00912D16" w:rsidRDefault="00912D16" w:rsidP="00912D16">
      <w:pPr>
        <w:pStyle w:val="ListParagraph"/>
        <w:numPr>
          <w:ilvl w:val="3"/>
          <w:numId w:val="2"/>
        </w:numPr>
        <w:spacing w:before="240"/>
        <w:rPr>
          <w:sz w:val="24"/>
          <w:szCs w:val="24"/>
        </w:rPr>
      </w:pPr>
      <w:r>
        <w:rPr>
          <w:sz w:val="24"/>
          <w:szCs w:val="24"/>
        </w:rPr>
        <w:t>Infrared Factor</w:t>
      </w:r>
    </w:p>
    <w:p w14:paraId="44611082" w14:textId="4DEDFF3F" w:rsidR="00BE75D7" w:rsidRDefault="006077AA" w:rsidP="00912D16">
      <w:pPr>
        <w:pStyle w:val="ListParagraph"/>
        <w:numPr>
          <w:ilvl w:val="3"/>
          <w:numId w:val="2"/>
        </w:numPr>
        <w:spacing w:before="240"/>
        <w:rPr>
          <w:sz w:val="24"/>
          <w:szCs w:val="24"/>
        </w:rPr>
      </w:pPr>
      <w:r>
        <w:rPr>
          <w:sz w:val="24"/>
          <w:szCs w:val="24"/>
        </w:rPr>
        <w:t>Mounting</w:t>
      </w:r>
      <w:r w:rsidR="00912D16">
        <w:rPr>
          <w:sz w:val="24"/>
          <w:szCs w:val="24"/>
        </w:rPr>
        <w:t xml:space="preserve"> Angle</w:t>
      </w:r>
    </w:p>
    <w:p w14:paraId="19FA5D7E" w14:textId="77777777" w:rsidR="006077AA" w:rsidRDefault="006077AA" w:rsidP="006077AA">
      <w:pPr>
        <w:pStyle w:val="ListParagraph"/>
        <w:spacing w:before="240"/>
        <w:ind w:left="1080"/>
        <w:rPr>
          <w:sz w:val="24"/>
          <w:szCs w:val="24"/>
        </w:rPr>
      </w:pPr>
    </w:p>
    <w:p w14:paraId="3E65E8EE" w14:textId="530DA957" w:rsidR="006077AA" w:rsidRDefault="006077AA" w:rsidP="006077AA">
      <w:pPr>
        <w:pStyle w:val="ListParagraph"/>
        <w:numPr>
          <w:ilvl w:val="2"/>
          <w:numId w:val="2"/>
        </w:numPr>
        <w:spacing w:before="240"/>
        <w:rPr>
          <w:sz w:val="24"/>
          <w:szCs w:val="24"/>
        </w:rPr>
      </w:pPr>
      <w:r>
        <w:rPr>
          <w:sz w:val="24"/>
          <w:szCs w:val="24"/>
        </w:rPr>
        <w:t>In no case shall a Radiant Efficiency rating or value be reported on a series of heaters nor an individual component thereof.</w:t>
      </w:r>
    </w:p>
    <w:p w14:paraId="50531F5C" w14:textId="7D984047" w:rsidR="00912D16" w:rsidRDefault="00912D16" w:rsidP="00A25390">
      <w:pPr>
        <w:pStyle w:val="ListParagraph"/>
        <w:numPr>
          <w:ilvl w:val="1"/>
          <w:numId w:val="2"/>
        </w:numPr>
        <w:spacing w:before="240" w:line="240" w:lineRule="auto"/>
        <w:contextualSpacing w:val="0"/>
        <w:rPr>
          <w:sz w:val="24"/>
          <w:szCs w:val="24"/>
        </w:rPr>
      </w:pPr>
      <w:r>
        <w:rPr>
          <w:sz w:val="24"/>
          <w:szCs w:val="24"/>
        </w:rPr>
        <w:lastRenderedPageBreak/>
        <w:t>TUBULAR INFRARED HEATER</w:t>
      </w:r>
      <w:r w:rsidR="003658F3">
        <w:rPr>
          <w:sz w:val="24"/>
          <w:szCs w:val="24"/>
        </w:rPr>
        <w:t xml:space="preserve"> CONSTRUCTION</w:t>
      </w:r>
    </w:p>
    <w:p w14:paraId="54A8CB71" w14:textId="34911F89" w:rsidR="00912D16" w:rsidRDefault="00912D16" w:rsidP="00A25390">
      <w:pPr>
        <w:pStyle w:val="ListParagraph"/>
        <w:numPr>
          <w:ilvl w:val="2"/>
          <w:numId w:val="2"/>
        </w:numPr>
        <w:spacing w:before="240"/>
        <w:contextualSpacing w:val="0"/>
        <w:rPr>
          <w:sz w:val="24"/>
          <w:szCs w:val="24"/>
        </w:rPr>
      </w:pPr>
      <w:r>
        <w:rPr>
          <w:sz w:val="24"/>
          <w:szCs w:val="24"/>
        </w:rPr>
        <w:t>Basis-of-Design Product: Provide Detroit Radiant Products Company; Re-Verber-Ray two</w:t>
      </w:r>
      <w:r w:rsidR="00A21D8B">
        <w:rPr>
          <w:sz w:val="24"/>
          <w:szCs w:val="24"/>
        </w:rPr>
        <w:t xml:space="preserve"> </w:t>
      </w:r>
      <w:r>
        <w:rPr>
          <w:sz w:val="24"/>
          <w:szCs w:val="24"/>
        </w:rPr>
        <w:t xml:space="preserve">stage </w:t>
      </w:r>
      <w:r w:rsidR="00521D48">
        <w:rPr>
          <w:sz w:val="24"/>
          <w:szCs w:val="24"/>
        </w:rPr>
        <w:t>REV</w:t>
      </w:r>
      <w:r>
        <w:rPr>
          <w:sz w:val="24"/>
          <w:szCs w:val="24"/>
        </w:rPr>
        <w:t xml:space="preserve"> Series</w:t>
      </w:r>
      <w:r w:rsidR="00E37551">
        <w:rPr>
          <w:sz w:val="24"/>
          <w:szCs w:val="24"/>
        </w:rPr>
        <w:t>.</w:t>
      </w:r>
    </w:p>
    <w:p w14:paraId="4A0E0B3C" w14:textId="77777777" w:rsidR="00912D16" w:rsidRDefault="00912D16" w:rsidP="00912D16">
      <w:pPr>
        <w:pStyle w:val="ListParagraph"/>
        <w:numPr>
          <w:ilvl w:val="2"/>
          <w:numId w:val="2"/>
        </w:numPr>
        <w:spacing w:before="240"/>
        <w:contextualSpacing w:val="0"/>
        <w:rPr>
          <w:sz w:val="24"/>
          <w:szCs w:val="24"/>
        </w:rPr>
      </w:pPr>
      <w:r>
        <w:rPr>
          <w:sz w:val="24"/>
          <w:szCs w:val="24"/>
        </w:rPr>
        <w:t xml:space="preserve">Fuel Type: Burner shall be designed for [natural] [propane] gas having characteristics the same as those of gas available at project site. </w:t>
      </w:r>
    </w:p>
    <w:p w14:paraId="7A69DD07" w14:textId="21D6616E" w:rsidR="00CD17B8" w:rsidRDefault="00912D16" w:rsidP="00912D16">
      <w:pPr>
        <w:pStyle w:val="ListParagraph"/>
        <w:numPr>
          <w:ilvl w:val="2"/>
          <w:numId w:val="2"/>
        </w:numPr>
        <w:spacing w:before="240"/>
        <w:contextualSpacing w:val="0"/>
        <w:rPr>
          <w:sz w:val="24"/>
          <w:szCs w:val="24"/>
        </w:rPr>
      </w:pPr>
      <w:r>
        <w:rPr>
          <w:sz w:val="24"/>
          <w:szCs w:val="24"/>
        </w:rPr>
        <w:t xml:space="preserve">Gas Control: </w:t>
      </w:r>
      <w:r w:rsidR="00CD17B8">
        <w:rPr>
          <w:sz w:val="24"/>
          <w:szCs w:val="24"/>
        </w:rPr>
        <w:t xml:space="preserve">Operation shall include a defined input differential via a </w:t>
      </w:r>
      <w:r w:rsidR="00EE643F">
        <w:rPr>
          <w:sz w:val="24"/>
          <w:szCs w:val="24"/>
        </w:rPr>
        <w:t>two</w:t>
      </w:r>
      <w:r w:rsidR="005D20A2">
        <w:rPr>
          <w:sz w:val="24"/>
          <w:szCs w:val="24"/>
        </w:rPr>
        <w:t xml:space="preserve"> </w:t>
      </w:r>
      <w:r w:rsidR="00EE643F">
        <w:rPr>
          <w:sz w:val="24"/>
          <w:szCs w:val="24"/>
        </w:rPr>
        <w:t>stage</w:t>
      </w:r>
      <w:r w:rsidR="00CD17B8">
        <w:rPr>
          <w:sz w:val="24"/>
          <w:szCs w:val="24"/>
        </w:rPr>
        <w:t xml:space="preserve"> positive pressure gas valve. Heater must be CSA Design Certified to operate at an input differential of at least 30% between the low and nominal rated input modes.</w:t>
      </w:r>
    </w:p>
    <w:p w14:paraId="6E9A69D3" w14:textId="3E7398FF" w:rsidR="00CD17B8" w:rsidRDefault="00CD17B8" w:rsidP="00912D16">
      <w:pPr>
        <w:pStyle w:val="ListParagraph"/>
        <w:numPr>
          <w:ilvl w:val="2"/>
          <w:numId w:val="2"/>
        </w:numPr>
        <w:spacing w:before="240"/>
        <w:contextualSpacing w:val="0"/>
        <w:rPr>
          <w:sz w:val="24"/>
          <w:szCs w:val="24"/>
        </w:rPr>
      </w:pPr>
      <w:r>
        <w:rPr>
          <w:sz w:val="24"/>
          <w:szCs w:val="24"/>
        </w:rPr>
        <w:t>Combustion Chamber: Shall be 4-inch O.D., 16 ga. titanium-stabilized aluminized steel (150-200 MBH</w:t>
      </w:r>
      <w:r w:rsidR="00891667">
        <w:rPr>
          <w:sz w:val="24"/>
          <w:szCs w:val="24"/>
        </w:rPr>
        <w:t xml:space="preserve">) </w:t>
      </w:r>
      <w:r>
        <w:rPr>
          <w:sz w:val="24"/>
          <w:szCs w:val="24"/>
        </w:rPr>
        <w:t xml:space="preserve">or aluminized steel (below 150 MBH), finished with a corrosion-resistant, black coating with an emissivity level documented at 0.92 or higher. </w:t>
      </w:r>
    </w:p>
    <w:p w14:paraId="55382022" w14:textId="62030C1D" w:rsidR="00CD17B8" w:rsidRDefault="00CD17B8" w:rsidP="00912D16">
      <w:pPr>
        <w:pStyle w:val="ListParagraph"/>
        <w:numPr>
          <w:ilvl w:val="2"/>
          <w:numId w:val="2"/>
        </w:numPr>
        <w:spacing w:before="240"/>
        <w:contextualSpacing w:val="0"/>
        <w:rPr>
          <w:sz w:val="24"/>
          <w:szCs w:val="24"/>
        </w:rPr>
      </w:pPr>
      <w:r>
        <w:rPr>
          <w:sz w:val="24"/>
          <w:szCs w:val="24"/>
        </w:rPr>
        <w:t xml:space="preserve">Burner Type: Unit shall be a positive pressure </w:t>
      </w:r>
      <w:r w:rsidR="00A21D8B">
        <w:rPr>
          <w:sz w:val="24"/>
          <w:szCs w:val="24"/>
        </w:rPr>
        <w:t xml:space="preserve">(push) </w:t>
      </w:r>
      <w:r>
        <w:rPr>
          <w:sz w:val="24"/>
          <w:szCs w:val="24"/>
        </w:rPr>
        <w:t>burner with a combustion fan upstream of the burner and exhaust gases for component longevity, maximum combustion efficiency, and energy transfer.</w:t>
      </w:r>
      <w:r w:rsidR="00521D48">
        <w:rPr>
          <w:sz w:val="24"/>
          <w:szCs w:val="24"/>
        </w:rPr>
        <w:t xml:space="preserve"> </w:t>
      </w:r>
      <w:r>
        <w:rPr>
          <w:sz w:val="24"/>
          <w:szCs w:val="24"/>
        </w:rPr>
        <w:t xml:space="preserve">Negative pressure (pull) </w:t>
      </w:r>
      <w:r w:rsidR="00B92836">
        <w:rPr>
          <w:sz w:val="24"/>
          <w:szCs w:val="24"/>
        </w:rPr>
        <w:t>appliances shall not be permitted.</w:t>
      </w:r>
      <w:r>
        <w:rPr>
          <w:sz w:val="24"/>
          <w:szCs w:val="24"/>
        </w:rPr>
        <w:t xml:space="preserve"> </w:t>
      </w:r>
    </w:p>
    <w:p w14:paraId="69CB352B" w14:textId="527B5C7B" w:rsidR="00691781" w:rsidRDefault="00B92836" w:rsidP="00912D16">
      <w:pPr>
        <w:pStyle w:val="ListParagraph"/>
        <w:numPr>
          <w:ilvl w:val="2"/>
          <w:numId w:val="2"/>
        </w:numPr>
        <w:spacing w:before="240"/>
        <w:contextualSpacing w:val="0"/>
        <w:rPr>
          <w:sz w:val="24"/>
          <w:szCs w:val="24"/>
        </w:rPr>
      </w:pPr>
      <w:r>
        <w:rPr>
          <w:sz w:val="24"/>
          <w:szCs w:val="24"/>
        </w:rPr>
        <w:t>Combustion Air</w:t>
      </w:r>
      <w:r w:rsidR="00691781">
        <w:rPr>
          <w:sz w:val="24"/>
          <w:szCs w:val="24"/>
        </w:rPr>
        <w:t xml:space="preserve">: Unit shall incorporate a </w:t>
      </w:r>
      <w:r w:rsidR="0094609C">
        <w:rPr>
          <w:sz w:val="24"/>
          <w:szCs w:val="24"/>
        </w:rPr>
        <w:t>connection</w:t>
      </w:r>
      <w:r w:rsidR="00691781">
        <w:rPr>
          <w:sz w:val="24"/>
          <w:szCs w:val="24"/>
        </w:rPr>
        <w:t xml:space="preserve"> between</w:t>
      </w:r>
      <w:r w:rsidR="0094609C">
        <w:rPr>
          <w:sz w:val="24"/>
          <w:szCs w:val="24"/>
        </w:rPr>
        <w:t xml:space="preserve"> the</w:t>
      </w:r>
      <w:r w:rsidR="00691781">
        <w:rPr>
          <w:sz w:val="24"/>
          <w:szCs w:val="24"/>
        </w:rPr>
        <w:t xml:space="preserve"> burner box and reflector to </w:t>
      </w:r>
      <w:r w:rsidR="0094609C">
        <w:rPr>
          <w:sz w:val="24"/>
          <w:szCs w:val="24"/>
        </w:rPr>
        <w:t>supply pre-heated combustion air.</w:t>
      </w:r>
    </w:p>
    <w:p w14:paraId="1D289F96" w14:textId="77777777" w:rsidR="00CD17B8" w:rsidRDefault="00CD17B8" w:rsidP="00912D16">
      <w:pPr>
        <w:pStyle w:val="ListParagraph"/>
        <w:numPr>
          <w:ilvl w:val="2"/>
          <w:numId w:val="2"/>
        </w:numPr>
        <w:spacing w:before="240"/>
        <w:contextualSpacing w:val="0"/>
        <w:rPr>
          <w:sz w:val="24"/>
          <w:szCs w:val="24"/>
        </w:rPr>
      </w:pPr>
      <w:r>
        <w:rPr>
          <w:sz w:val="24"/>
          <w:szCs w:val="24"/>
        </w:rPr>
        <w:t xml:space="preserve">Fan Enclosure: Combustion fan shall be totally housed inside burner control box and not exposed. Appliances with exposed combustion/exhauster fans shall not be permitted. </w:t>
      </w:r>
    </w:p>
    <w:p w14:paraId="03504A1B" w14:textId="40E0D875" w:rsidR="00597E83" w:rsidRPr="00E60383" w:rsidRDefault="00597E83" w:rsidP="00912D16">
      <w:pPr>
        <w:pStyle w:val="ListParagraph"/>
        <w:numPr>
          <w:ilvl w:val="2"/>
          <w:numId w:val="2"/>
        </w:numPr>
        <w:spacing w:before="240"/>
        <w:contextualSpacing w:val="0"/>
        <w:rPr>
          <w:sz w:val="24"/>
          <w:szCs w:val="24"/>
        </w:rPr>
      </w:pPr>
      <w:r w:rsidRPr="00E60383">
        <w:rPr>
          <w:sz w:val="24"/>
          <w:szCs w:val="24"/>
        </w:rPr>
        <w:t>Premium Combustion</w:t>
      </w:r>
      <w:r w:rsidR="00CD17B8" w:rsidRPr="00E60383">
        <w:rPr>
          <w:sz w:val="24"/>
          <w:szCs w:val="24"/>
        </w:rPr>
        <w:t xml:space="preserve"> Burner: Shall </w:t>
      </w:r>
      <w:r w:rsidRPr="00E60383">
        <w:rPr>
          <w:sz w:val="24"/>
          <w:szCs w:val="24"/>
        </w:rPr>
        <w:t>be constructed from</w:t>
      </w:r>
      <w:r w:rsidR="00CD17B8" w:rsidRPr="00E60383">
        <w:rPr>
          <w:sz w:val="24"/>
          <w:szCs w:val="24"/>
        </w:rPr>
        <w:t xml:space="preserve"> </w:t>
      </w:r>
      <w:r w:rsidR="00081B2C">
        <w:rPr>
          <w:sz w:val="24"/>
          <w:szCs w:val="24"/>
        </w:rPr>
        <w:t>304</w:t>
      </w:r>
      <w:r w:rsidR="00B6688D">
        <w:rPr>
          <w:sz w:val="24"/>
          <w:szCs w:val="24"/>
        </w:rPr>
        <w:t>-grade</w:t>
      </w:r>
      <w:r w:rsidRPr="00E60383">
        <w:rPr>
          <w:sz w:val="24"/>
          <w:szCs w:val="24"/>
        </w:rPr>
        <w:t xml:space="preserve"> </w:t>
      </w:r>
      <w:r w:rsidR="00CD17B8" w:rsidRPr="00E60383">
        <w:rPr>
          <w:sz w:val="24"/>
          <w:szCs w:val="24"/>
        </w:rPr>
        <w:t>stainless steel</w:t>
      </w:r>
      <w:r w:rsidRPr="00E60383">
        <w:rPr>
          <w:sz w:val="24"/>
          <w:szCs w:val="24"/>
        </w:rPr>
        <w:t xml:space="preserve"> and die formed in a</w:t>
      </w:r>
      <w:r w:rsidR="00CD17B8" w:rsidRPr="00E60383">
        <w:rPr>
          <w:sz w:val="24"/>
          <w:szCs w:val="24"/>
        </w:rPr>
        <w:t xml:space="preserve"> venturi-style </w:t>
      </w:r>
      <w:r w:rsidRPr="00E60383">
        <w:rPr>
          <w:sz w:val="24"/>
          <w:szCs w:val="24"/>
        </w:rPr>
        <w:t>design. Flame arrestor shall be a minimum of ¼” thick constructed from sintered steel</w:t>
      </w:r>
      <w:r w:rsidR="001D5BB8">
        <w:rPr>
          <w:sz w:val="24"/>
          <w:szCs w:val="24"/>
        </w:rPr>
        <w:t xml:space="preserve"> or perforated stainless steel</w:t>
      </w:r>
      <w:r w:rsidRPr="00E60383">
        <w:rPr>
          <w:sz w:val="24"/>
          <w:szCs w:val="24"/>
        </w:rPr>
        <w:t xml:space="preserve">. </w:t>
      </w:r>
      <w:r w:rsidR="00E60383" w:rsidRPr="00E60383">
        <w:rPr>
          <w:sz w:val="24"/>
          <w:szCs w:val="24"/>
        </w:rPr>
        <w:t xml:space="preserve">Burner design shall also include secondary air vanes to maximize flame rotation and heat distribution. </w:t>
      </w:r>
      <w:r w:rsidRPr="00E60383">
        <w:rPr>
          <w:sz w:val="24"/>
          <w:szCs w:val="24"/>
        </w:rPr>
        <w:t xml:space="preserve">Non-venturi or ceramic </w:t>
      </w:r>
      <w:r w:rsidR="00E60383" w:rsidRPr="00E60383">
        <w:rPr>
          <w:sz w:val="24"/>
          <w:szCs w:val="24"/>
        </w:rPr>
        <w:t xml:space="preserve">style </w:t>
      </w:r>
      <w:r w:rsidRPr="00E60383">
        <w:rPr>
          <w:sz w:val="24"/>
          <w:szCs w:val="24"/>
        </w:rPr>
        <w:t xml:space="preserve">flame arrester designs shall not be </w:t>
      </w:r>
      <w:r w:rsidR="00E37551">
        <w:rPr>
          <w:sz w:val="24"/>
          <w:szCs w:val="24"/>
        </w:rPr>
        <w:t>permitted</w:t>
      </w:r>
      <w:r w:rsidRPr="00E60383">
        <w:rPr>
          <w:sz w:val="24"/>
          <w:szCs w:val="24"/>
        </w:rPr>
        <w:t xml:space="preserve">.  </w:t>
      </w:r>
    </w:p>
    <w:p w14:paraId="6D539590" w14:textId="09BB2356" w:rsidR="003C14E7" w:rsidRDefault="00A21D8B" w:rsidP="00E60383">
      <w:pPr>
        <w:pStyle w:val="ListParagraph"/>
        <w:numPr>
          <w:ilvl w:val="2"/>
          <w:numId w:val="2"/>
        </w:numPr>
        <w:spacing w:before="240"/>
        <w:contextualSpacing w:val="0"/>
        <w:rPr>
          <w:sz w:val="24"/>
          <w:szCs w:val="24"/>
        </w:rPr>
      </w:pPr>
      <w:r>
        <w:rPr>
          <w:sz w:val="24"/>
          <w:szCs w:val="24"/>
        </w:rPr>
        <w:t xml:space="preserve">Radiant </w:t>
      </w:r>
      <w:r w:rsidR="00CD17B8" w:rsidRPr="00E37551">
        <w:rPr>
          <w:sz w:val="24"/>
          <w:szCs w:val="24"/>
        </w:rPr>
        <w:t>Emitter Tube: Shall be 4-inch O.D., 16 ga. aluminized steel finished with a corrosion-resistant</w:t>
      </w:r>
      <w:r>
        <w:rPr>
          <w:sz w:val="24"/>
          <w:szCs w:val="24"/>
        </w:rPr>
        <w:t>,</w:t>
      </w:r>
      <w:r w:rsidR="00CD17B8" w:rsidRPr="00E37551">
        <w:rPr>
          <w:sz w:val="24"/>
          <w:szCs w:val="24"/>
        </w:rPr>
        <w:t xml:space="preserve"> black coating with an emissivity level documented at 0.92 or higher. Calorized or hot rolled steel </w:t>
      </w:r>
      <w:r w:rsidR="00A91168">
        <w:rPr>
          <w:sz w:val="24"/>
          <w:szCs w:val="24"/>
        </w:rPr>
        <w:t xml:space="preserve">tubes </w:t>
      </w:r>
      <w:r w:rsidR="00CD17B8" w:rsidRPr="00E37551">
        <w:rPr>
          <w:sz w:val="24"/>
          <w:szCs w:val="24"/>
        </w:rPr>
        <w:t xml:space="preserve">shall not be </w:t>
      </w:r>
      <w:r w:rsidR="00E37551">
        <w:rPr>
          <w:sz w:val="24"/>
          <w:szCs w:val="24"/>
        </w:rPr>
        <w:t>permitted</w:t>
      </w:r>
      <w:r w:rsidR="00CD17B8" w:rsidRPr="00E37551">
        <w:rPr>
          <w:sz w:val="24"/>
          <w:szCs w:val="24"/>
        </w:rPr>
        <w:t>.</w:t>
      </w:r>
    </w:p>
    <w:p w14:paraId="6B476265" w14:textId="77777777" w:rsidR="003C14E7" w:rsidRDefault="003C14E7">
      <w:pPr>
        <w:rPr>
          <w:sz w:val="24"/>
          <w:szCs w:val="24"/>
        </w:rPr>
      </w:pPr>
      <w:r>
        <w:rPr>
          <w:sz w:val="24"/>
          <w:szCs w:val="24"/>
        </w:rPr>
        <w:br w:type="page"/>
      </w:r>
    </w:p>
    <w:p w14:paraId="21A27FF8" w14:textId="108E17CC" w:rsidR="00E37551" w:rsidRDefault="00CD17B8" w:rsidP="00A21D8B">
      <w:pPr>
        <w:pStyle w:val="ListParagraph"/>
        <w:numPr>
          <w:ilvl w:val="2"/>
          <w:numId w:val="2"/>
        </w:numPr>
        <w:spacing w:before="240"/>
        <w:contextualSpacing w:val="0"/>
        <w:rPr>
          <w:sz w:val="24"/>
          <w:szCs w:val="24"/>
        </w:rPr>
      </w:pPr>
      <w:r>
        <w:rPr>
          <w:sz w:val="24"/>
          <w:szCs w:val="24"/>
        </w:rPr>
        <w:lastRenderedPageBreak/>
        <w:t>Tube Connections:</w:t>
      </w:r>
      <w:r w:rsidR="00BD5FF2">
        <w:rPr>
          <w:sz w:val="24"/>
          <w:szCs w:val="24"/>
        </w:rPr>
        <w:t xml:space="preserve"> The heater’s combustion chamber and radiant emitter tube shall connect via a 4-inch slip-fit, interlocking connection in which the upstream tube slides into the next tube and is held by a 4-inch alumin</w:t>
      </w:r>
      <w:r w:rsidR="001D5BB8">
        <w:rPr>
          <w:sz w:val="24"/>
          <w:szCs w:val="24"/>
        </w:rPr>
        <w:t>ized</w:t>
      </w:r>
      <w:r w:rsidR="00BD5FF2">
        <w:rPr>
          <w:sz w:val="24"/>
          <w:szCs w:val="24"/>
        </w:rPr>
        <w:t xml:space="preserve"> bolted clamp. 4-inch 304-grade stainless steel clamps shall be used to join combustion tubes to radiant tubes on systems </w:t>
      </w:r>
      <w:r w:rsidR="00B57262">
        <w:rPr>
          <w:sz w:val="24"/>
          <w:szCs w:val="24"/>
        </w:rPr>
        <w:t>150 MBH and above</w:t>
      </w:r>
      <w:r w:rsidR="00BD5FF2">
        <w:rPr>
          <w:sz w:val="24"/>
          <w:szCs w:val="24"/>
        </w:rPr>
        <w:t xml:space="preserve">. A </w:t>
      </w:r>
      <w:r w:rsidR="00E37551">
        <w:rPr>
          <w:sz w:val="24"/>
          <w:szCs w:val="24"/>
        </w:rPr>
        <w:t xml:space="preserve">non-swaged or </w:t>
      </w:r>
      <w:r w:rsidR="00BD5FF2">
        <w:rPr>
          <w:sz w:val="24"/>
          <w:szCs w:val="24"/>
        </w:rPr>
        <w:t xml:space="preserve">butted tube connection system shall not be permitted. </w:t>
      </w:r>
    </w:p>
    <w:p w14:paraId="3633AFDF" w14:textId="6F4F1C54" w:rsidR="003C14E7" w:rsidRDefault="003C14E7" w:rsidP="00A21D8B">
      <w:pPr>
        <w:pStyle w:val="ListParagraph"/>
        <w:numPr>
          <w:ilvl w:val="2"/>
          <w:numId w:val="2"/>
        </w:numPr>
        <w:spacing w:before="240"/>
        <w:contextualSpacing w:val="0"/>
        <w:rPr>
          <w:sz w:val="24"/>
          <w:szCs w:val="24"/>
        </w:rPr>
      </w:pPr>
      <w:r>
        <w:rPr>
          <w:sz w:val="24"/>
          <w:szCs w:val="24"/>
        </w:rPr>
        <w:t xml:space="preserve">Hangers: Hangers shall be a floating design which allows for tube movement independent of reflectors.  </w:t>
      </w:r>
    </w:p>
    <w:p w14:paraId="6C2E3074" w14:textId="77777777" w:rsidR="00C7168B" w:rsidRPr="00E47EF1" w:rsidRDefault="00C7168B" w:rsidP="00C7168B">
      <w:pPr>
        <w:pStyle w:val="ListParagraph"/>
        <w:numPr>
          <w:ilvl w:val="2"/>
          <w:numId w:val="2"/>
        </w:numPr>
        <w:spacing w:before="240"/>
        <w:contextualSpacing w:val="0"/>
        <w:rPr>
          <w:sz w:val="24"/>
          <w:szCs w:val="24"/>
        </w:rPr>
      </w:pPr>
      <w:r>
        <w:rPr>
          <w:sz w:val="24"/>
          <w:szCs w:val="24"/>
        </w:rPr>
        <w:t>Control Box</w:t>
      </w:r>
      <w:r w:rsidRPr="00E47EF1">
        <w:rPr>
          <w:sz w:val="24"/>
          <w:szCs w:val="24"/>
        </w:rPr>
        <w:t xml:space="preserve">: Heater’s exterior control chassis shall be constructed of corrosion-resistant </w:t>
      </w:r>
      <w:r>
        <w:rPr>
          <w:sz w:val="24"/>
          <w:szCs w:val="24"/>
        </w:rPr>
        <w:t>enameled steel</w:t>
      </w:r>
      <w:r w:rsidRPr="00E47EF1">
        <w:rPr>
          <w:sz w:val="24"/>
          <w:szCs w:val="24"/>
        </w:rPr>
        <w:t xml:space="preserve">. The heater’s top cover shall be constructed of </w:t>
      </w:r>
      <w:r>
        <w:rPr>
          <w:sz w:val="24"/>
          <w:szCs w:val="24"/>
        </w:rPr>
        <w:t>ABS plastic material</w:t>
      </w:r>
      <w:r w:rsidRPr="00E47EF1">
        <w:rPr>
          <w:sz w:val="24"/>
          <w:szCs w:val="24"/>
        </w:rPr>
        <w:t xml:space="preserve"> </w:t>
      </w:r>
      <w:r>
        <w:rPr>
          <w:sz w:val="24"/>
          <w:szCs w:val="24"/>
        </w:rPr>
        <w:t>with hinged and fitted design properties and shall be accessible without the use of tools.</w:t>
      </w:r>
    </w:p>
    <w:p w14:paraId="4305C72E" w14:textId="77777777" w:rsidR="00C7168B" w:rsidRPr="00BE75D7" w:rsidRDefault="00C7168B" w:rsidP="00C7168B">
      <w:pPr>
        <w:pStyle w:val="ListParagraph"/>
        <w:numPr>
          <w:ilvl w:val="2"/>
          <w:numId w:val="2"/>
        </w:numPr>
        <w:spacing w:before="240"/>
        <w:contextualSpacing w:val="0"/>
        <w:rPr>
          <w:sz w:val="24"/>
          <w:szCs w:val="24"/>
        </w:rPr>
      </w:pPr>
      <w:r>
        <w:rPr>
          <w:sz w:val="24"/>
          <w:szCs w:val="24"/>
        </w:rPr>
        <w:t>Sight Glass: Heater shall be equipped with a sight glass allowing a visual inspection of igniter and burner operation from floor level.</w:t>
      </w:r>
    </w:p>
    <w:p w14:paraId="4FB6FF0F" w14:textId="77777777" w:rsidR="00C7168B" w:rsidRDefault="00C7168B" w:rsidP="00C7168B">
      <w:pPr>
        <w:pStyle w:val="ListParagraph"/>
        <w:numPr>
          <w:ilvl w:val="2"/>
          <w:numId w:val="2"/>
        </w:numPr>
        <w:spacing w:before="240"/>
        <w:contextualSpacing w:val="0"/>
        <w:rPr>
          <w:sz w:val="24"/>
          <w:szCs w:val="24"/>
        </w:rPr>
      </w:pPr>
      <w:r>
        <w:rPr>
          <w:sz w:val="24"/>
          <w:szCs w:val="24"/>
        </w:rPr>
        <w:t xml:space="preserve">Air Intake: An air intake collar shall be supplied as part of the burner control assembly fitted to accept a 4-inch O.D. PVW or DWV air supply duct. </w:t>
      </w:r>
    </w:p>
    <w:p w14:paraId="3A63CA00" w14:textId="77777777" w:rsidR="00C7168B" w:rsidRPr="00877AA5" w:rsidRDefault="00C7168B" w:rsidP="005435AE">
      <w:pPr>
        <w:pStyle w:val="ListParagraph"/>
        <w:numPr>
          <w:ilvl w:val="2"/>
          <w:numId w:val="2"/>
        </w:numPr>
        <w:spacing w:before="240" w:after="360"/>
        <w:contextualSpacing w:val="0"/>
        <w:rPr>
          <w:sz w:val="24"/>
          <w:szCs w:val="24"/>
        </w:rPr>
      </w:pPr>
      <w:r>
        <w:rPr>
          <w:sz w:val="24"/>
          <w:szCs w:val="24"/>
        </w:rPr>
        <w:t>Baffle: Heater shall utilize downstream turbulator baffle(s) for maximum heat transfer.</w:t>
      </w:r>
    </w:p>
    <w:p w14:paraId="47BCC1A3" w14:textId="708F5164" w:rsidR="00C7168B" w:rsidRDefault="00C7168B" w:rsidP="00C7168B">
      <w:pPr>
        <w:pStyle w:val="ListParagraph"/>
        <w:numPr>
          <w:ilvl w:val="1"/>
          <w:numId w:val="2"/>
        </w:numPr>
        <w:spacing w:before="240" w:line="240" w:lineRule="auto"/>
        <w:contextualSpacing w:val="0"/>
        <w:rPr>
          <w:sz w:val="24"/>
          <w:szCs w:val="24"/>
        </w:rPr>
      </w:pPr>
      <w:r>
        <w:rPr>
          <w:sz w:val="24"/>
          <w:szCs w:val="24"/>
        </w:rPr>
        <w:t>EXTRUDED ALUMINUM RAIL &amp; REFLECTOR CONSTRUCTION.</w:t>
      </w:r>
    </w:p>
    <w:p w14:paraId="094F732D" w14:textId="0AF5AE26" w:rsidR="00081C17" w:rsidRDefault="00C45E2B" w:rsidP="00E55ADD">
      <w:pPr>
        <w:pStyle w:val="ListParagraph"/>
        <w:numPr>
          <w:ilvl w:val="2"/>
          <w:numId w:val="2"/>
        </w:numPr>
        <w:spacing w:before="240"/>
        <w:contextualSpacing w:val="0"/>
        <w:rPr>
          <w:sz w:val="24"/>
          <w:szCs w:val="24"/>
        </w:rPr>
      </w:pPr>
      <w:r w:rsidRPr="00081C17">
        <w:rPr>
          <w:sz w:val="24"/>
          <w:szCs w:val="24"/>
        </w:rPr>
        <w:t>Material</w:t>
      </w:r>
      <w:r w:rsidR="00BD5FF2" w:rsidRPr="00081C17">
        <w:rPr>
          <w:sz w:val="24"/>
          <w:szCs w:val="24"/>
        </w:rPr>
        <w:t xml:space="preserve">: </w:t>
      </w:r>
      <w:r w:rsidR="00B74B6C" w:rsidRPr="00081C17">
        <w:rPr>
          <w:sz w:val="24"/>
          <w:szCs w:val="24"/>
        </w:rPr>
        <w:t>Reflector s</w:t>
      </w:r>
      <w:r w:rsidR="00BD5FF2" w:rsidRPr="00081C17">
        <w:rPr>
          <w:sz w:val="24"/>
          <w:szCs w:val="24"/>
        </w:rPr>
        <w:t xml:space="preserve">hall be </w:t>
      </w:r>
      <w:r w:rsidR="00B92836" w:rsidRPr="00081C17">
        <w:rPr>
          <w:sz w:val="24"/>
          <w:szCs w:val="24"/>
        </w:rPr>
        <w:t xml:space="preserve">solid extruded aluminum with a minimum </w:t>
      </w:r>
      <w:r w:rsidR="00C7168B" w:rsidRPr="00081C17">
        <w:rPr>
          <w:sz w:val="24"/>
          <w:szCs w:val="24"/>
        </w:rPr>
        <w:t>core wall</w:t>
      </w:r>
      <w:r w:rsidR="00B92836" w:rsidRPr="00081C17">
        <w:rPr>
          <w:sz w:val="24"/>
          <w:szCs w:val="24"/>
        </w:rPr>
        <w:t xml:space="preserve"> thickness of 0.070</w:t>
      </w:r>
      <w:r w:rsidR="00E47EF1" w:rsidRPr="00081C17">
        <w:rPr>
          <w:sz w:val="24"/>
          <w:szCs w:val="24"/>
        </w:rPr>
        <w:t>-</w:t>
      </w:r>
      <w:r w:rsidR="00B92836" w:rsidRPr="00081C17">
        <w:rPr>
          <w:sz w:val="24"/>
          <w:szCs w:val="24"/>
        </w:rPr>
        <w:t>in.</w:t>
      </w:r>
      <w:r w:rsidR="004B2C7C" w:rsidRPr="00081C17">
        <w:rPr>
          <w:sz w:val="24"/>
          <w:szCs w:val="24"/>
        </w:rPr>
        <w:t xml:space="preserve"> (</w:t>
      </w:r>
      <w:r w:rsidR="008636C8">
        <w:rPr>
          <w:sz w:val="24"/>
          <w:szCs w:val="24"/>
        </w:rPr>
        <w:t>15-</w:t>
      </w:r>
      <w:r w:rsidR="001E2F54">
        <w:rPr>
          <w:sz w:val="24"/>
          <w:szCs w:val="24"/>
        </w:rPr>
        <w:t>gauge</w:t>
      </w:r>
      <w:r w:rsidR="004B2C7C" w:rsidRPr="00081C17">
        <w:rPr>
          <w:sz w:val="24"/>
          <w:szCs w:val="24"/>
        </w:rPr>
        <w:t xml:space="preserve">). </w:t>
      </w:r>
      <w:r w:rsidR="00035E65">
        <w:rPr>
          <w:sz w:val="24"/>
          <w:szCs w:val="24"/>
        </w:rPr>
        <w:t>Rolled or pressed reflectors shall not be permitted.</w:t>
      </w:r>
    </w:p>
    <w:p w14:paraId="40ED6CFD" w14:textId="1F0EF8A2" w:rsidR="00C26D21" w:rsidRPr="00081C17" w:rsidRDefault="00B57262" w:rsidP="00665C2A">
      <w:pPr>
        <w:pStyle w:val="ListParagraph"/>
        <w:numPr>
          <w:ilvl w:val="2"/>
          <w:numId w:val="2"/>
        </w:numPr>
        <w:spacing w:before="240" w:after="0"/>
        <w:contextualSpacing w:val="0"/>
        <w:rPr>
          <w:sz w:val="24"/>
          <w:szCs w:val="24"/>
        </w:rPr>
      </w:pPr>
      <w:r w:rsidRPr="00081C17">
        <w:rPr>
          <w:sz w:val="24"/>
          <w:szCs w:val="24"/>
        </w:rPr>
        <w:t>Design</w:t>
      </w:r>
      <w:r w:rsidR="00D13C07" w:rsidRPr="00081C17">
        <w:rPr>
          <w:sz w:val="24"/>
          <w:szCs w:val="24"/>
        </w:rPr>
        <w:t xml:space="preserve"> Configurations</w:t>
      </w:r>
      <w:r w:rsidR="00E47EF1" w:rsidRPr="00081C17">
        <w:rPr>
          <w:sz w:val="24"/>
          <w:szCs w:val="24"/>
        </w:rPr>
        <w:t xml:space="preserve">: </w:t>
      </w:r>
      <w:r w:rsidR="00B74B6C" w:rsidRPr="00081C17">
        <w:rPr>
          <w:sz w:val="24"/>
          <w:szCs w:val="24"/>
        </w:rPr>
        <w:t>Reflector s</w:t>
      </w:r>
      <w:r w:rsidR="00E47EF1" w:rsidRPr="00081C17">
        <w:rPr>
          <w:sz w:val="24"/>
          <w:szCs w:val="24"/>
        </w:rPr>
        <w:t xml:space="preserve">hall </w:t>
      </w:r>
      <w:r w:rsidR="00C26D21" w:rsidRPr="00081C17">
        <w:rPr>
          <w:sz w:val="24"/>
          <w:szCs w:val="24"/>
        </w:rPr>
        <w:t xml:space="preserve">feature at least four (4) field </w:t>
      </w:r>
      <w:r w:rsidR="004D0FF0" w:rsidRPr="00081C17">
        <w:rPr>
          <w:sz w:val="24"/>
          <w:szCs w:val="24"/>
        </w:rPr>
        <w:t>configurable</w:t>
      </w:r>
      <w:r w:rsidR="00E47EF1" w:rsidRPr="00081C17">
        <w:rPr>
          <w:sz w:val="24"/>
          <w:szCs w:val="24"/>
        </w:rPr>
        <w:t xml:space="preserve"> design</w:t>
      </w:r>
      <w:r w:rsidR="00C26D21" w:rsidRPr="00081C17">
        <w:rPr>
          <w:sz w:val="24"/>
          <w:szCs w:val="24"/>
        </w:rPr>
        <w:t xml:space="preserve">s, </w:t>
      </w:r>
      <w:r w:rsidR="00081C17" w:rsidRPr="00081C17">
        <w:rPr>
          <w:sz w:val="24"/>
          <w:szCs w:val="24"/>
        </w:rPr>
        <w:t xml:space="preserve">with a </w:t>
      </w:r>
      <w:r w:rsidR="00CD6286">
        <w:rPr>
          <w:sz w:val="24"/>
          <w:szCs w:val="24"/>
        </w:rPr>
        <w:t>minimum option of:</w:t>
      </w:r>
    </w:p>
    <w:p w14:paraId="1FCE6329" w14:textId="241425AE" w:rsidR="00126DA9" w:rsidRPr="004B2C7C" w:rsidRDefault="00126DA9" w:rsidP="00665C2A">
      <w:pPr>
        <w:pStyle w:val="ListParagraph"/>
        <w:numPr>
          <w:ilvl w:val="3"/>
          <w:numId w:val="2"/>
        </w:numPr>
        <w:spacing w:after="0"/>
        <w:contextualSpacing w:val="0"/>
        <w:rPr>
          <w:sz w:val="24"/>
          <w:szCs w:val="24"/>
        </w:rPr>
      </w:pPr>
      <w:r>
        <w:rPr>
          <w:sz w:val="24"/>
          <w:szCs w:val="24"/>
        </w:rPr>
        <w:t xml:space="preserve">A standard “dual pass” (88% </w:t>
      </w:r>
      <w:r w:rsidR="006411D0">
        <w:rPr>
          <w:sz w:val="24"/>
          <w:szCs w:val="24"/>
        </w:rPr>
        <w:t>design effective</w:t>
      </w:r>
      <w:r>
        <w:rPr>
          <w:sz w:val="24"/>
          <w:szCs w:val="24"/>
        </w:rPr>
        <w:t xml:space="preserve">) </w:t>
      </w:r>
      <w:r w:rsidR="007E0F74">
        <w:rPr>
          <w:sz w:val="24"/>
          <w:szCs w:val="24"/>
        </w:rPr>
        <w:t>geometric profile</w:t>
      </w:r>
      <w:r>
        <w:rPr>
          <w:sz w:val="24"/>
          <w:szCs w:val="24"/>
        </w:rPr>
        <w:t>,</w:t>
      </w:r>
      <w:r w:rsidRPr="00E47EF1">
        <w:rPr>
          <w:sz w:val="24"/>
          <w:szCs w:val="24"/>
        </w:rPr>
        <w:t xml:space="preserve"> designed to increase tube temperature</w:t>
      </w:r>
      <w:r>
        <w:rPr>
          <w:sz w:val="24"/>
          <w:szCs w:val="24"/>
        </w:rPr>
        <w:t>s</w:t>
      </w:r>
      <w:r w:rsidRPr="00E47EF1">
        <w:rPr>
          <w:sz w:val="24"/>
          <w:szCs w:val="24"/>
        </w:rPr>
        <w:t xml:space="preserve"> </w:t>
      </w:r>
      <w:r>
        <w:rPr>
          <w:sz w:val="24"/>
          <w:szCs w:val="24"/>
        </w:rPr>
        <w:t>and</w:t>
      </w:r>
      <w:r w:rsidRPr="00E47EF1">
        <w:rPr>
          <w:sz w:val="24"/>
          <w:szCs w:val="24"/>
        </w:rPr>
        <w:t xml:space="preserve"> </w:t>
      </w:r>
      <w:r w:rsidR="007E0F74">
        <w:rPr>
          <w:rFonts w:ascii="Calibri" w:hAnsi="Calibri" w:cs="Calibri"/>
          <w:sz w:val="24"/>
          <w:szCs w:val="24"/>
        </w:rPr>
        <w:t>maximize radiant output.</w:t>
      </w:r>
      <w:r>
        <w:rPr>
          <w:rFonts w:ascii="Calibri" w:hAnsi="Calibri" w:cs="Calibri"/>
          <w:sz w:val="24"/>
          <w:szCs w:val="24"/>
        </w:rPr>
        <w:t xml:space="preserve">  </w:t>
      </w:r>
    </w:p>
    <w:p w14:paraId="32A21490" w14:textId="02C04F86" w:rsidR="00C26D21" w:rsidRPr="00C26D21" w:rsidRDefault="00C26D21" w:rsidP="00665C2A">
      <w:pPr>
        <w:pStyle w:val="ListParagraph"/>
        <w:numPr>
          <w:ilvl w:val="3"/>
          <w:numId w:val="2"/>
        </w:numPr>
        <w:contextualSpacing w:val="0"/>
        <w:rPr>
          <w:sz w:val="24"/>
          <w:szCs w:val="24"/>
        </w:rPr>
      </w:pPr>
      <w:r>
        <w:rPr>
          <w:sz w:val="24"/>
          <w:szCs w:val="24"/>
        </w:rPr>
        <w:t xml:space="preserve">A </w:t>
      </w:r>
      <w:r w:rsidR="00D13C07">
        <w:rPr>
          <w:sz w:val="24"/>
          <w:szCs w:val="24"/>
        </w:rPr>
        <w:t>wide</w:t>
      </w:r>
      <w:r>
        <w:rPr>
          <w:sz w:val="24"/>
          <w:szCs w:val="24"/>
        </w:rPr>
        <w:t>-angle</w:t>
      </w:r>
      <w:r w:rsidR="00D13C07">
        <w:rPr>
          <w:sz w:val="24"/>
          <w:szCs w:val="24"/>
        </w:rPr>
        <w:t xml:space="preserve"> </w:t>
      </w:r>
      <w:r>
        <w:rPr>
          <w:sz w:val="24"/>
          <w:szCs w:val="24"/>
        </w:rPr>
        <w:t>“</w:t>
      </w:r>
      <w:r w:rsidR="004D0FF0">
        <w:rPr>
          <w:sz w:val="24"/>
          <w:szCs w:val="24"/>
        </w:rPr>
        <w:t>single</w:t>
      </w:r>
      <w:r w:rsidR="00096E1A">
        <w:rPr>
          <w:sz w:val="24"/>
          <w:szCs w:val="24"/>
        </w:rPr>
        <w:t xml:space="preserve"> </w:t>
      </w:r>
      <w:r w:rsidR="004D0FF0">
        <w:rPr>
          <w:sz w:val="24"/>
          <w:szCs w:val="24"/>
        </w:rPr>
        <w:t>pass</w:t>
      </w:r>
      <w:r>
        <w:rPr>
          <w:sz w:val="24"/>
          <w:szCs w:val="24"/>
        </w:rPr>
        <w:t>”</w:t>
      </w:r>
      <w:r w:rsidR="004D0FF0">
        <w:rPr>
          <w:sz w:val="24"/>
          <w:szCs w:val="24"/>
        </w:rPr>
        <w:t xml:space="preserve"> </w:t>
      </w:r>
      <w:r w:rsidR="00CB62E0">
        <w:rPr>
          <w:sz w:val="24"/>
          <w:szCs w:val="24"/>
        </w:rPr>
        <w:t>(</w:t>
      </w:r>
      <w:r>
        <w:rPr>
          <w:sz w:val="24"/>
          <w:szCs w:val="24"/>
        </w:rPr>
        <w:t xml:space="preserve">100% </w:t>
      </w:r>
      <w:r w:rsidR="006411D0">
        <w:rPr>
          <w:sz w:val="24"/>
          <w:szCs w:val="24"/>
        </w:rPr>
        <w:t>design effective</w:t>
      </w:r>
      <w:r w:rsidR="00CB62E0">
        <w:rPr>
          <w:sz w:val="24"/>
          <w:szCs w:val="24"/>
        </w:rPr>
        <w:t xml:space="preserve">) </w:t>
      </w:r>
      <w:r>
        <w:rPr>
          <w:sz w:val="24"/>
          <w:szCs w:val="24"/>
        </w:rPr>
        <w:t>geometric profile</w:t>
      </w:r>
      <w:r w:rsidR="00D80144">
        <w:rPr>
          <w:sz w:val="24"/>
          <w:szCs w:val="24"/>
        </w:rPr>
        <w:t xml:space="preserve">, </w:t>
      </w:r>
      <w:r w:rsidR="00D80144" w:rsidRPr="00E47EF1">
        <w:rPr>
          <w:sz w:val="24"/>
          <w:szCs w:val="24"/>
        </w:rPr>
        <w:t xml:space="preserve">designed to </w:t>
      </w:r>
      <w:r w:rsidR="00D80144">
        <w:rPr>
          <w:sz w:val="24"/>
          <w:szCs w:val="24"/>
        </w:rPr>
        <w:t>lessen</w:t>
      </w:r>
      <w:r w:rsidR="00D80144" w:rsidRPr="00E47EF1">
        <w:rPr>
          <w:sz w:val="24"/>
          <w:szCs w:val="24"/>
        </w:rPr>
        <w:t xml:space="preserve"> tube temperature </w:t>
      </w:r>
      <w:r w:rsidR="00D80144">
        <w:rPr>
          <w:sz w:val="24"/>
          <w:szCs w:val="24"/>
        </w:rPr>
        <w:t>and</w:t>
      </w:r>
      <w:r w:rsidR="00D80144" w:rsidRPr="00E47EF1">
        <w:rPr>
          <w:sz w:val="24"/>
          <w:szCs w:val="24"/>
        </w:rPr>
        <w:t xml:space="preserve"> </w:t>
      </w:r>
      <w:r w:rsidR="00D80144">
        <w:rPr>
          <w:sz w:val="24"/>
          <w:szCs w:val="24"/>
        </w:rPr>
        <w:t xml:space="preserve">maximize </w:t>
      </w:r>
      <w:r w:rsidR="00D80144">
        <w:rPr>
          <w:rFonts w:ascii="Calibri" w:hAnsi="Calibri" w:cs="Calibri"/>
          <w:sz w:val="24"/>
          <w:szCs w:val="24"/>
        </w:rPr>
        <w:t xml:space="preserve">radiant flux patterns.  </w:t>
      </w:r>
    </w:p>
    <w:p w14:paraId="1F5B8E96" w14:textId="5569D9EF" w:rsidR="00081C17" w:rsidRDefault="00081C17" w:rsidP="00037930">
      <w:pPr>
        <w:pStyle w:val="ListParagraph"/>
        <w:numPr>
          <w:ilvl w:val="2"/>
          <w:numId w:val="2"/>
        </w:numPr>
        <w:spacing w:before="240" w:line="256" w:lineRule="auto"/>
        <w:rPr>
          <w:sz w:val="24"/>
          <w:szCs w:val="24"/>
        </w:rPr>
      </w:pPr>
      <w:r w:rsidRPr="00081C17">
        <w:rPr>
          <w:sz w:val="24"/>
          <w:szCs w:val="24"/>
        </w:rPr>
        <w:t xml:space="preserve">Mounting Rail: Reflector shall feature an integrated sliding track rail with </w:t>
      </w:r>
      <w:r w:rsidR="00035E65">
        <w:rPr>
          <w:sz w:val="24"/>
          <w:szCs w:val="24"/>
        </w:rPr>
        <w:t>fitted brackets to allow</w:t>
      </w:r>
      <w:r w:rsidRPr="00081C17">
        <w:rPr>
          <w:sz w:val="24"/>
          <w:szCs w:val="24"/>
        </w:rPr>
        <w:t xml:space="preserve"> selectable hanging locations. Heaters requiring a predefined mounting </w:t>
      </w:r>
      <w:r w:rsidR="007E0F74">
        <w:rPr>
          <w:sz w:val="24"/>
          <w:szCs w:val="24"/>
        </w:rPr>
        <w:t>location shall not be permitted.</w:t>
      </w:r>
    </w:p>
    <w:p w14:paraId="1684E445" w14:textId="77777777" w:rsidR="00081C17" w:rsidRDefault="00081C17" w:rsidP="00081C17">
      <w:pPr>
        <w:pStyle w:val="ListParagraph"/>
        <w:spacing w:before="240" w:line="256" w:lineRule="auto"/>
        <w:ind w:left="1080"/>
        <w:rPr>
          <w:sz w:val="24"/>
          <w:szCs w:val="24"/>
        </w:rPr>
      </w:pPr>
    </w:p>
    <w:p w14:paraId="4D501A16" w14:textId="5A174A28" w:rsidR="005F0A50" w:rsidRDefault="005F0A50" w:rsidP="005F0A50">
      <w:pPr>
        <w:pStyle w:val="ListParagraph"/>
        <w:numPr>
          <w:ilvl w:val="2"/>
          <w:numId w:val="2"/>
        </w:numPr>
        <w:spacing w:before="240" w:line="256" w:lineRule="auto"/>
        <w:rPr>
          <w:sz w:val="24"/>
          <w:szCs w:val="24"/>
        </w:rPr>
      </w:pPr>
      <w:r w:rsidRPr="005F0A50">
        <w:rPr>
          <w:sz w:val="24"/>
          <w:szCs w:val="24"/>
        </w:rPr>
        <w:lastRenderedPageBreak/>
        <w:t>Energy Capturing Cavities: Reflector shall feature integral</w:t>
      </w:r>
      <w:r>
        <w:rPr>
          <w:sz w:val="24"/>
          <w:szCs w:val="24"/>
        </w:rPr>
        <w:t>,</w:t>
      </w:r>
      <w:r w:rsidRPr="005F0A50">
        <w:rPr>
          <w:sz w:val="24"/>
          <w:szCs w:val="24"/>
        </w:rPr>
        <w:t xml:space="preserve"> insulating</w:t>
      </w:r>
      <w:r>
        <w:rPr>
          <w:sz w:val="24"/>
          <w:szCs w:val="24"/>
        </w:rPr>
        <w:t>,</w:t>
      </w:r>
      <w:r w:rsidRPr="005F0A50">
        <w:rPr>
          <w:sz w:val="24"/>
          <w:szCs w:val="24"/>
        </w:rPr>
        <w:t xml:space="preserve"> energy cavities designed to capture heat energy to pre-heated combustion air to the burner while </w:t>
      </w:r>
      <w:r>
        <w:rPr>
          <w:sz w:val="24"/>
          <w:szCs w:val="24"/>
        </w:rPr>
        <w:t>concurrently</w:t>
      </w:r>
      <w:r w:rsidRPr="005F0A50">
        <w:rPr>
          <w:sz w:val="24"/>
          <w:szCs w:val="24"/>
        </w:rPr>
        <w:t xml:space="preserve"> reducing the heater’s top clearance</w:t>
      </w:r>
      <w:r>
        <w:rPr>
          <w:sz w:val="24"/>
          <w:szCs w:val="24"/>
        </w:rPr>
        <w:t>s to combustibles</w:t>
      </w:r>
      <w:r w:rsidRPr="005F0A50">
        <w:rPr>
          <w:sz w:val="24"/>
          <w:szCs w:val="24"/>
        </w:rPr>
        <w:t xml:space="preserve"> to a distance </w:t>
      </w:r>
      <w:r w:rsidR="00096E1A">
        <w:rPr>
          <w:sz w:val="24"/>
          <w:szCs w:val="24"/>
        </w:rPr>
        <w:t>as low as</w:t>
      </w:r>
      <w:r w:rsidRPr="005F0A50">
        <w:rPr>
          <w:sz w:val="24"/>
          <w:szCs w:val="24"/>
        </w:rPr>
        <w:t xml:space="preserve"> 2</w:t>
      </w:r>
      <w:r w:rsidR="00096E1A">
        <w:rPr>
          <w:sz w:val="24"/>
          <w:szCs w:val="24"/>
        </w:rPr>
        <w:t xml:space="preserve"> </w:t>
      </w:r>
      <w:r w:rsidRPr="005F0A50">
        <w:rPr>
          <w:sz w:val="24"/>
          <w:szCs w:val="24"/>
        </w:rPr>
        <w:t xml:space="preserve">inches. Single or </w:t>
      </w:r>
      <w:r w:rsidR="00A1202D">
        <w:rPr>
          <w:sz w:val="24"/>
          <w:szCs w:val="24"/>
        </w:rPr>
        <w:t xml:space="preserve">dual wall reflectors </w:t>
      </w:r>
      <w:r w:rsidR="00AF29A5">
        <w:rPr>
          <w:sz w:val="24"/>
          <w:szCs w:val="24"/>
        </w:rPr>
        <w:t>shall not be permitted.</w:t>
      </w:r>
    </w:p>
    <w:p w14:paraId="6F962D19" w14:textId="77777777" w:rsidR="005F0A50" w:rsidRPr="005F0A50" w:rsidRDefault="005F0A50" w:rsidP="005F0A50">
      <w:pPr>
        <w:pStyle w:val="ListParagraph"/>
        <w:spacing w:before="240" w:line="256" w:lineRule="auto"/>
        <w:ind w:left="1080"/>
        <w:rPr>
          <w:sz w:val="24"/>
          <w:szCs w:val="24"/>
        </w:rPr>
      </w:pPr>
    </w:p>
    <w:p w14:paraId="35B94807" w14:textId="777DA1BC" w:rsidR="00081C17" w:rsidRDefault="0057691F" w:rsidP="007C3CE1">
      <w:pPr>
        <w:pStyle w:val="ListParagraph"/>
        <w:numPr>
          <w:ilvl w:val="2"/>
          <w:numId w:val="2"/>
        </w:numPr>
        <w:spacing w:before="240" w:line="256" w:lineRule="auto"/>
        <w:contextualSpacing w:val="0"/>
        <w:rPr>
          <w:sz w:val="24"/>
          <w:szCs w:val="24"/>
        </w:rPr>
      </w:pPr>
      <w:r>
        <w:rPr>
          <w:sz w:val="24"/>
          <w:szCs w:val="24"/>
        </w:rPr>
        <w:t>Reflector Facets</w:t>
      </w:r>
      <w:r w:rsidR="00D80144" w:rsidRPr="00081C17">
        <w:rPr>
          <w:sz w:val="24"/>
          <w:szCs w:val="24"/>
        </w:rPr>
        <w:t>:</w:t>
      </w:r>
      <w:r w:rsidR="004B2C7C" w:rsidRPr="00081C17">
        <w:rPr>
          <w:sz w:val="24"/>
          <w:szCs w:val="24"/>
        </w:rPr>
        <w:t xml:space="preserve"> </w:t>
      </w:r>
      <w:r w:rsidR="00CB62E0" w:rsidRPr="00081C17">
        <w:rPr>
          <w:sz w:val="24"/>
          <w:szCs w:val="24"/>
        </w:rPr>
        <w:t xml:space="preserve">Reflector </w:t>
      </w:r>
      <w:r w:rsidR="006822ED" w:rsidRPr="00081C17">
        <w:rPr>
          <w:sz w:val="24"/>
          <w:szCs w:val="24"/>
        </w:rPr>
        <w:t xml:space="preserve">shall </w:t>
      </w:r>
      <w:r w:rsidR="005F55BC" w:rsidRPr="00081C17">
        <w:rPr>
          <w:sz w:val="24"/>
          <w:szCs w:val="24"/>
        </w:rPr>
        <w:t>incorporate</w:t>
      </w:r>
      <w:r w:rsidR="006822ED" w:rsidRPr="00081C17">
        <w:rPr>
          <w:sz w:val="24"/>
          <w:szCs w:val="24"/>
        </w:rPr>
        <w:t xml:space="preserve"> a minimum of </w:t>
      </w:r>
      <w:r w:rsidR="00081C17" w:rsidRPr="00081C17">
        <w:rPr>
          <w:sz w:val="24"/>
          <w:szCs w:val="24"/>
        </w:rPr>
        <w:t>eighteen (</w:t>
      </w:r>
      <w:r w:rsidR="006822ED" w:rsidRPr="00081C17">
        <w:rPr>
          <w:sz w:val="24"/>
          <w:szCs w:val="24"/>
        </w:rPr>
        <w:t>18</w:t>
      </w:r>
      <w:r w:rsidR="00081C17" w:rsidRPr="00081C17">
        <w:rPr>
          <w:sz w:val="24"/>
          <w:szCs w:val="24"/>
        </w:rPr>
        <w:t>)</w:t>
      </w:r>
      <w:r w:rsidR="006822ED" w:rsidRPr="00081C17">
        <w:rPr>
          <w:sz w:val="24"/>
          <w:szCs w:val="24"/>
        </w:rPr>
        <w:t xml:space="preserve"> </w:t>
      </w:r>
      <w:r w:rsidR="00D80144" w:rsidRPr="00081C17">
        <w:rPr>
          <w:sz w:val="24"/>
          <w:szCs w:val="24"/>
        </w:rPr>
        <w:t>“</w:t>
      </w:r>
      <w:r w:rsidR="006822ED" w:rsidRPr="00081C17">
        <w:rPr>
          <w:sz w:val="24"/>
          <w:szCs w:val="24"/>
        </w:rPr>
        <w:t>reverberatory</w:t>
      </w:r>
      <w:r w:rsidR="00D80144" w:rsidRPr="00081C17">
        <w:rPr>
          <w:sz w:val="24"/>
          <w:szCs w:val="24"/>
        </w:rPr>
        <w:t>”</w:t>
      </w:r>
      <w:r w:rsidR="006822ED" w:rsidRPr="00081C17">
        <w:rPr>
          <w:sz w:val="24"/>
          <w:szCs w:val="24"/>
        </w:rPr>
        <w:t xml:space="preserve"> facets</w:t>
      </w:r>
      <w:r w:rsidR="00CB62E0" w:rsidRPr="00081C17">
        <w:rPr>
          <w:sz w:val="24"/>
          <w:szCs w:val="24"/>
        </w:rPr>
        <w:t xml:space="preserve"> to </w:t>
      </w:r>
      <w:r w:rsidR="00D80144" w:rsidRPr="00081C17">
        <w:rPr>
          <w:sz w:val="24"/>
          <w:szCs w:val="24"/>
        </w:rPr>
        <w:t xml:space="preserve">best </w:t>
      </w:r>
      <w:r w:rsidR="00CB62E0" w:rsidRPr="00081C17">
        <w:rPr>
          <w:sz w:val="24"/>
          <w:szCs w:val="24"/>
        </w:rPr>
        <w:t xml:space="preserve">optimize the radiant flux pattern </w:t>
      </w:r>
      <w:r w:rsidR="00D80144" w:rsidRPr="00081C17">
        <w:rPr>
          <w:sz w:val="24"/>
          <w:szCs w:val="24"/>
        </w:rPr>
        <w:t>AFF.</w:t>
      </w:r>
    </w:p>
    <w:p w14:paraId="3840BD1E" w14:textId="47A68B58" w:rsidR="00081C17" w:rsidRDefault="0057691F" w:rsidP="00FF176F">
      <w:pPr>
        <w:pStyle w:val="ListParagraph"/>
        <w:numPr>
          <w:ilvl w:val="2"/>
          <w:numId w:val="2"/>
        </w:numPr>
        <w:spacing w:before="240" w:line="256" w:lineRule="auto"/>
        <w:contextualSpacing w:val="0"/>
        <w:rPr>
          <w:sz w:val="24"/>
          <w:szCs w:val="24"/>
        </w:rPr>
      </w:pPr>
      <w:r>
        <w:rPr>
          <w:sz w:val="24"/>
          <w:szCs w:val="24"/>
        </w:rPr>
        <w:t>Side Shield Mount</w:t>
      </w:r>
      <w:r w:rsidR="00D80144" w:rsidRPr="00081C17">
        <w:rPr>
          <w:sz w:val="24"/>
          <w:szCs w:val="24"/>
        </w:rPr>
        <w:t>:</w:t>
      </w:r>
      <w:r w:rsidR="00CB62E0" w:rsidRPr="00081C17">
        <w:rPr>
          <w:sz w:val="24"/>
          <w:szCs w:val="24"/>
        </w:rPr>
        <w:t xml:space="preserve"> </w:t>
      </w:r>
      <w:r w:rsidR="00BE30A9">
        <w:rPr>
          <w:sz w:val="24"/>
          <w:szCs w:val="24"/>
        </w:rPr>
        <w:t>Reflector may be mounted</w:t>
      </w:r>
      <w:r w:rsidR="00CB62E0" w:rsidRPr="00081C17">
        <w:rPr>
          <w:sz w:val="24"/>
          <w:szCs w:val="24"/>
        </w:rPr>
        <w:t xml:space="preserve"> with a 35-degree </w:t>
      </w:r>
      <w:r w:rsidR="00BC7F00" w:rsidRPr="00081C17">
        <w:rPr>
          <w:sz w:val="24"/>
          <w:szCs w:val="24"/>
        </w:rPr>
        <w:t xml:space="preserve">forward throw </w:t>
      </w:r>
      <w:r w:rsidR="00CB62E0" w:rsidRPr="00081C17">
        <w:rPr>
          <w:sz w:val="24"/>
          <w:szCs w:val="24"/>
        </w:rPr>
        <w:t xml:space="preserve">side shield using only the </w:t>
      </w:r>
      <w:r w:rsidR="00BC7F00" w:rsidRPr="00081C17">
        <w:rPr>
          <w:sz w:val="24"/>
          <w:szCs w:val="24"/>
        </w:rPr>
        <w:t>supplied</w:t>
      </w:r>
      <w:r w:rsidR="00CB62E0" w:rsidRPr="00081C17">
        <w:rPr>
          <w:sz w:val="24"/>
          <w:szCs w:val="24"/>
        </w:rPr>
        <w:t xml:space="preserve"> material</w:t>
      </w:r>
      <w:r w:rsidR="00BC7F00" w:rsidRPr="00081C17">
        <w:rPr>
          <w:sz w:val="24"/>
          <w:szCs w:val="24"/>
        </w:rPr>
        <w:t>s</w:t>
      </w:r>
      <w:r w:rsidR="00CB62E0" w:rsidRPr="00081C17">
        <w:rPr>
          <w:sz w:val="24"/>
          <w:szCs w:val="24"/>
        </w:rPr>
        <w:t xml:space="preserve">. No additional accessories shall be </w:t>
      </w:r>
      <w:r w:rsidR="00AF29A5">
        <w:rPr>
          <w:sz w:val="24"/>
          <w:szCs w:val="24"/>
        </w:rPr>
        <w:t>required to achieve this profile.</w:t>
      </w:r>
    </w:p>
    <w:p w14:paraId="22C9EF02" w14:textId="6E2DC52A" w:rsidR="00081C17" w:rsidRDefault="00BC7F00" w:rsidP="00081C17">
      <w:pPr>
        <w:pStyle w:val="ListParagraph"/>
        <w:numPr>
          <w:ilvl w:val="2"/>
          <w:numId w:val="2"/>
        </w:numPr>
        <w:spacing w:before="240" w:line="256" w:lineRule="auto"/>
        <w:contextualSpacing w:val="0"/>
        <w:rPr>
          <w:sz w:val="24"/>
          <w:szCs w:val="24"/>
        </w:rPr>
      </w:pPr>
      <w:r w:rsidRPr="00081C17">
        <w:rPr>
          <w:sz w:val="24"/>
          <w:szCs w:val="24"/>
        </w:rPr>
        <w:t>Sway Bracing</w:t>
      </w:r>
      <w:r w:rsidR="00D80144" w:rsidRPr="00081C17">
        <w:rPr>
          <w:sz w:val="24"/>
          <w:szCs w:val="24"/>
        </w:rPr>
        <w:t>:</w:t>
      </w:r>
      <w:r w:rsidRPr="00081C17">
        <w:rPr>
          <w:sz w:val="24"/>
          <w:szCs w:val="24"/>
        </w:rPr>
        <w:t xml:space="preserve"> Reflector shall be supplied with sway bracing brackets for use in high wind or vibration applications. Sway brackets shall be secured with a factory installed </w:t>
      </w:r>
      <w:r w:rsidR="00013FB5">
        <w:rPr>
          <w:sz w:val="24"/>
          <w:szCs w:val="24"/>
        </w:rPr>
        <w:t>nutsert anchor design.</w:t>
      </w:r>
    </w:p>
    <w:p w14:paraId="46AAB69F" w14:textId="3D36D71E" w:rsidR="00081C17" w:rsidRPr="00081C17" w:rsidRDefault="00013FB5" w:rsidP="005435AE">
      <w:pPr>
        <w:pStyle w:val="ListParagraph"/>
        <w:numPr>
          <w:ilvl w:val="2"/>
          <w:numId w:val="2"/>
        </w:numPr>
        <w:spacing w:before="240" w:after="360" w:line="257" w:lineRule="auto"/>
        <w:contextualSpacing w:val="0"/>
        <w:rPr>
          <w:sz w:val="24"/>
          <w:szCs w:val="24"/>
        </w:rPr>
      </w:pPr>
      <w:r>
        <w:rPr>
          <w:sz w:val="24"/>
          <w:szCs w:val="24"/>
        </w:rPr>
        <w:t>Energy Optimizer</w:t>
      </w:r>
      <w:r w:rsidR="00081C17" w:rsidRPr="00081C17">
        <w:rPr>
          <w:sz w:val="24"/>
          <w:szCs w:val="24"/>
        </w:rPr>
        <w:t xml:space="preserve">: Reflector shall be capable of being fitted with an optional field mount heat extraction or recapture device. Device shall be designed to release the heat captured in the Energy Capturing Chambers </w:t>
      </w:r>
      <w:r w:rsidR="00AF29A5">
        <w:rPr>
          <w:sz w:val="24"/>
          <w:szCs w:val="24"/>
        </w:rPr>
        <w:t>as usable convective air.</w:t>
      </w:r>
    </w:p>
    <w:p w14:paraId="4762FDE1" w14:textId="4195534C" w:rsidR="000B14E6" w:rsidRDefault="000B14E6" w:rsidP="00877AA5">
      <w:pPr>
        <w:pStyle w:val="ListParagraph"/>
        <w:numPr>
          <w:ilvl w:val="1"/>
          <w:numId w:val="2"/>
        </w:numPr>
        <w:spacing w:before="240"/>
        <w:contextualSpacing w:val="0"/>
        <w:rPr>
          <w:sz w:val="24"/>
          <w:szCs w:val="24"/>
        </w:rPr>
      </w:pPr>
      <w:r>
        <w:rPr>
          <w:sz w:val="24"/>
          <w:szCs w:val="24"/>
        </w:rPr>
        <w:t xml:space="preserve">BURNER </w:t>
      </w:r>
      <w:r w:rsidR="00BC5B39">
        <w:rPr>
          <w:sz w:val="24"/>
          <w:szCs w:val="24"/>
        </w:rPr>
        <w:t xml:space="preserve">CONTROLS, </w:t>
      </w:r>
      <w:r w:rsidR="00F91711">
        <w:rPr>
          <w:sz w:val="24"/>
          <w:szCs w:val="24"/>
        </w:rPr>
        <w:t>OPERATION &amp; MARKINGS</w:t>
      </w:r>
    </w:p>
    <w:p w14:paraId="5D808452" w14:textId="2F0433F9" w:rsidR="000B14E6" w:rsidRDefault="000B14E6" w:rsidP="00877AA5">
      <w:pPr>
        <w:pStyle w:val="ListParagraph"/>
        <w:numPr>
          <w:ilvl w:val="2"/>
          <w:numId w:val="2"/>
        </w:numPr>
        <w:spacing w:before="240"/>
        <w:contextualSpacing w:val="0"/>
        <w:rPr>
          <w:sz w:val="24"/>
          <w:szCs w:val="24"/>
        </w:rPr>
      </w:pPr>
      <w:r>
        <w:rPr>
          <w:sz w:val="24"/>
          <w:szCs w:val="24"/>
        </w:rPr>
        <w:t xml:space="preserve">Heater controls shall include </w:t>
      </w:r>
      <w:r w:rsidR="00BC5B39">
        <w:rPr>
          <w:sz w:val="24"/>
          <w:szCs w:val="24"/>
        </w:rPr>
        <w:t xml:space="preserve">a </w:t>
      </w:r>
      <w:r w:rsidR="00891667" w:rsidRPr="00891667">
        <w:rPr>
          <w:sz w:val="24"/>
          <w:szCs w:val="24"/>
        </w:rPr>
        <w:t>single</w:t>
      </w:r>
      <w:r>
        <w:rPr>
          <w:sz w:val="24"/>
          <w:szCs w:val="24"/>
        </w:rPr>
        <w:t xml:space="preserve"> differential pressure switch to monitor combustion air flow so as to provide complete burner shutdown </w:t>
      </w:r>
      <w:r w:rsidR="00A21D8B">
        <w:rPr>
          <w:sz w:val="24"/>
          <w:szCs w:val="24"/>
        </w:rPr>
        <w:t>in the event of</w:t>
      </w:r>
      <w:r>
        <w:rPr>
          <w:sz w:val="24"/>
          <w:szCs w:val="24"/>
        </w:rPr>
        <w:t xml:space="preserve"> insufficient combustion air or flue blockage. </w:t>
      </w:r>
    </w:p>
    <w:p w14:paraId="4FF67151" w14:textId="0980F9B3" w:rsidR="00F23731" w:rsidRDefault="00F23731" w:rsidP="00877AA5">
      <w:pPr>
        <w:pStyle w:val="ListParagraph"/>
        <w:numPr>
          <w:ilvl w:val="2"/>
          <w:numId w:val="2"/>
        </w:numPr>
        <w:spacing w:before="240"/>
        <w:contextualSpacing w:val="0"/>
        <w:rPr>
          <w:sz w:val="24"/>
          <w:szCs w:val="24"/>
        </w:rPr>
      </w:pPr>
      <w:r>
        <w:rPr>
          <w:sz w:val="24"/>
          <w:szCs w:val="24"/>
        </w:rPr>
        <w:t>Staged operation shall be mechanical in nature and controlled via a direct 24</w:t>
      </w:r>
      <w:r w:rsidR="00A21D8B">
        <w:rPr>
          <w:sz w:val="24"/>
          <w:szCs w:val="24"/>
        </w:rPr>
        <w:t xml:space="preserve"> </w:t>
      </w:r>
      <w:r>
        <w:rPr>
          <w:sz w:val="24"/>
          <w:szCs w:val="24"/>
        </w:rPr>
        <w:t>V connection directly to the valve assembly. Heaters that control staging via air pressure or air ducting shall not be permitted.</w:t>
      </w:r>
    </w:p>
    <w:p w14:paraId="17819032" w14:textId="28358D8D" w:rsidR="000B14E6" w:rsidRDefault="000B14E6" w:rsidP="000B14E6">
      <w:pPr>
        <w:pStyle w:val="ListParagraph"/>
        <w:numPr>
          <w:ilvl w:val="2"/>
          <w:numId w:val="2"/>
        </w:numPr>
        <w:spacing w:before="240"/>
        <w:contextualSpacing w:val="0"/>
        <w:rPr>
          <w:sz w:val="24"/>
          <w:szCs w:val="24"/>
        </w:rPr>
      </w:pPr>
      <w:r>
        <w:rPr>
          <w:sz w:val="24"/>
          <w:szCs w:val="24"/>
        </w:rPr>
        <w:t>The heater shall incorporate a self-diagnostic ignition module and</w:t>
      </w:r>
      <w:r w:rsidR="00A21D8B">
        <w:rPr>
          <w:sz w:val="24"/>
          <w:szCs w:val="24"/>
        </w:rPr>
        <w:t xml:space="preserve"> feature an ignition system with three (3) tries prior to </w:t>
      </w:r>
      <w:r w:rsidR="001D5BB8">
        <w:rPr>
          <w:sz w:val="24"/>
          <w:szCs w:val="24"/>
        </w:rPr>
        <w:t xml:space="preserve">entering soft lockout followed by </w:t>
      </w:r>
      <w:r w:rsidR="00A21D8B">
        <w:rPr>
          <w:sz w:val="24"/>
          <w:szCs w:val="24"/>
        </w:rPr>
        <w:t>hard lockout.</w:t>
      </w:r>
      <w:r>
        <w:rPr>
          <w:sz w:val="24"/>
          <w:szCs w:val="24"/>
        </w:rPr>
        <w:t xml:space="preserve"> </w:t>
      </w:r>
    </w:p>
    <w:p w14:paraId="44BF899D" w14:textId="31753643" w:rsidR="00BC5B39" w:rsidRDefault="00BC5B39" w:rsidP="000B14E6">
      <w:pPr>
        <w:pStyle w:val="ListParagraph"/>
        <w:numPr>
          <w:ilvl w:val="2"/>
          <w:numId w:val="2"/>
        </w:numPr>
        <w:spacing w:before="240"/>
        <w:contextualSpacing w:val="0"/>
        <w:rPr>
          <w:sz w:val="24"/>
          <w:szCs w:val="24"/>
        </w:rPr>
      </w:pPr>
      <w:r>
        <w:rPr>
          <w:sz w:val="24"/>
          <w:szCs w:val="24"/>
        </w:rPr>
        <w:t xml:space="preserve">Burner </w:t>
      </w:r>
      <w:r w:rsidR="00251C52">
        <w:rPr>
          <w:sz w:val="24"/>
          <w:szCs w:val="24"/>
        </w:rPr>
        <w:t>assembly</w:t>
      </w:r>
      <w:r>
        <w:rPr>
          <w:sz w:val="24"/>
          <w:szCs w:val="24"/>
        </w:rPr>
        <w:t xml:space="preserve"> </w:t>
      </w:r>
      <w:r w:rsidR="00251C52">
        <w:rPr>
          <w:sz w:val="24"/>
          <w:szCs w:val="24"/>
        </w:rPr>
        <w:t>shall not require or incorporate the use of air filters.</w:t>
      </w:r>
    </w:p>
    <w:p w14:paraId="6ACD6D84" w14:textId="4855D878" w:rsidR="000B14E6" w:rsidRDefault="000B14E6" w:rsidP="000B14E6">
      <w:pPr>
        <w:pStyle w:val="ListParagraph"/>
        <w:numPr>
          <w:ilvl w:val="2"/>
          <w:numId w:val="2"/>
        </w:numPr>
        <w:spacing w:before="240"/>
        <w:contextualSpacing w:val="0"/>
        <w:rPr>
          <w:sz w:val="24"/>
          <w:szCs w:val="24"/>
        </w:rPr>
      </w:pPr>
      <w:r>
        <w:rPr>
          <w:sz w:val="24"/>
          <w:szCs w:val="24"/>
        </w:rPr>
        <w:t xml:space="preserve">Heater control assembly shall include three (3) </w:t>
      </w:r>
      <w:r w:rsidR="00A21D8B">
        <w:rPr>
          <w:sz w:val="24"/>
          <w:szCs w:val="24"/>
        </w:rPr>
        <w:t xml:space="preserve">operational </w:t>
      </w:r>
      <w:r>
        <w:rPr>
          <w:sz w:val="24"/>
          <w:szCs w:val="24"/>
        </w:rPr>
        <w:t>indicator lights</w:t>
      </w:r>
      <w:r w:rsidR="00A21D8B">
        <w:rPr>
          <w:sz w:val="24"/>
          <w:szCs w:val="24"/>
        </w:rPr>
        <w:t xml:space="preserve"> </w:t>
      </w:r>
      <w:r w:rsidR="00AC7DF4">
        <w:rPr>
          <w:sz w:val="24"/>
          <w:szCs w:val="24"/>
        </w:rPr>
        <w:t xml:space="preserve">indicating status of low fire operation, high fire operation, and pressure switch operation. </w:t>
      </w:r>
      <w:r>
        <w:rPr>
          <w:sz w:val="24"/>
          <w:szCs w:val="24"/>
        </w:rPr>
        <w:t xml:space="preserve"> </w:t>
      </w:r>
    </w:p>
    <w:p w14:paraId="02DFD314" w14:textId="0418128A" w:rsidR="000B14E6" w:rsidRDefault="000B14E6" w:rsidP="000B14E6">
      <w:pPr>
        <w:pStyle w:val="ListParagraph"/>
        <w:numPr>
          <w:ilvl w:val="2"/>
          <w:numId w:val="2"/>
        </w:numPr>
        <w:spacing w:before="240"/>
        <w:contextualSpacing w:val="0"/>
        <w:rPr>
          <w:sz w:val="24"/>
          <w:szCs w:val="24"/>
        </w:rPr>
      </w:pPr>
      <w:r>
        <w:rPr>
          <w:sz w:val="24"/>
          <w:szCs w:val="24"/>
        </w:rPr>
        <w:t xml:space="preserve">The heater’s </w:t>
      </w:r>
      <w:r w:rsidR="001D5BB8">
        <w:rPr>
          <w:sz w:val="24"/>
          <w:szCs w:val="24"/>
        </w:rPr>
        <w:t xml:space="preserve">ignitor warm-up </w:t>
      </w:r>
      <w:r>
        <w:rPr>
          <w:sz w:val="24"/>
          <w:szCs w:val="24"/>
        </w:rPr>
        <w:t>control system shall provide a 45-second pre-purge prior to initiating burner operation and a 90-second post-purge upon completion, effective</w:t>
      </w:r>
      <w:r w:rsidR="00F91711">
        <w:rPr>
          <w:sz w:val="24"/>
          <w:szCs w:val="24"/>
        </w:rPr>
        <w:t>ly</w:t>
      </w:r>
      <w:r>
        <w:rPr>
          <w:sz w:val="24"/>
          <w:szCs w:val="24"/>
        </w:rPr>
        <w:t xml:space="preserve"> removing all combustion </w:t>
      </w:r>
      <w:r w:rsidR="00BC5B39">
        <w:rPr>
          <w:sz w:val="24"/>
          <w:szCs w:val="24"/>
        </w:rPr>
        <w:t xml:space="preserve">by-products </w:t>
      </w:r>
      <w:r>
        <w:rPr>
          <w:sz w:val="24"/>
          <w:szCs w:val="24"/>
        </w:rPr>
        <w:t>from</w:t>
      </w:r>
      <w:r w:rsidR="00BC5B39">
        <w:rPr>
          <w:sz w:val="24"/>
          <w:szCs w:val="24"/>
        </w:rPr>
        <w:t xml:space="preserve"> the</w:t>
      </w:r>
      <w:r>
        <w:rPr>
          <w:sz w:val="24"/>
          <w:szCs w:val="24"/>
        </w:rPr>
        <w:t xml:space="preserve"> heat exchanger</w:t>
      </w:r>
      <w:r w:rsidR="00BC5B39">
        <w:rPr>
          <w:sz w:val="24"/>
          <w:szCs w:val="24"/>
        </w:rPr>
        <w:t>s.</w:t>
      </w:r>
    </w:p>
    <w:p w14:paraId="1C40AE97" w14:textId="29D3BD4A" w:rsidR="00F91711" w:rsidRPr="00A21D8B" w:rsidRDefault="00A21D8B" w:rsidP="00A21D8B">
      <w:pPr>
        <w:pStyle w:val="ListParagraph"/>
        <w:numPr>
          <w:ilvl w:val="2"/>
          <w:numId w:val="2"/>
        </w:numPr>
        <w:spacing w:before="240"/>
        <w:contextualSpacing w:val="0"/>
        <w:rPr>
          <w:sz w:val="24"/>
          <w:szCs w:val="24"/>
        </w:rPr>
      </w:pPr>
      <w:r>
        <w:rPr>
          <w:sz w:val="24"/>
          <w:szCs w:val="24"/>
        </w:rPr>
        <w:lastRenderedPageBreak/>
        <w:t xml:space="preserve">Ignition System: Hot surface ignition with silicon carbide glo-bar. Direct spark ignition systems shall not be permitted. </w:t>
      </w:r>
      <w:r w:rsidR="00F91711" w:rsidRPr="00A21D8B">
        <w:rPr>
          <w:sz w:val="24"/>
          <w:szCs w:val="24"/>
        </w:rPr>
        <w:t>The heater’s ignition and control compartment shall be accessible without the use of tools and serviceable while the heater is operating.</w:t>
      </w:r>
    </w:p>
    <w:p w14:paraId="584A6D94" w14:textId="2F12749A" w:rsidR="00A91168" w:rsidRDefault="00A91168" w:rsidP="00A91168">
      <w:pPr>
        <w:pStyle w:val="ListParagraph"/>
        <w:numPr>
          <w:ilvl w:val="2"/>
          <w:numId w:val="2"/>
        </w:numPr>
        <w:spacing w:before="240"/>
        <w:contextualSpacing w:val="0"/>
        <w:rPr>
          <w:sz w:val="24"/>
          <w:szCs w:val="24"/>
        </w:rPr>
      </w:pPr>
      <w:r>
        <w:rPr>
          <w:sz w:val="24"/>
          <w:szCs w:val="24"/>
        </w:rPr>
        <w:t>The rating label shall state the heater is approved for outdoor use when applicable.</w:t>
      </w:r>
      <w:r w:rsidRPr="00877AA5">
        <w:rPr>
          <w:sz w:val="24"/>
          <w:szCs w:val="24"/>
        </w:rPr>
        <w:t xml:space="preserve"> </w:t>
      </w:r>
    </w:p>
    <w:p w14:paraId="1B0FD3E9" w14:textId="27768960" w:rsidR="00F91711" w:rsidRDefault="00F91711" w:rsidP="00A91168">
      <w:pPr>
        <w:pStyle w:val="ListParagraph"/>
        <w:numPr>
          <w:ilvl w:val="2"/>
          <w:numId w:val="2"/>
        </w:numPr>
        <w:spacing w:before="240"/>
        <w:contextualSpacing w:val="0"/>
        <w:rPr>
          <w:sz w:val="24"/>
          <w:szCs w:val="24"/>
        </w:rPr>
      </w:pPr>
      <w:r>
        <w:rPr>
          <w:sz w:val="24"/>
          <w:szCs w:val="24"/>
        </w:rPr>
        <w:t xml:space="preserve">Heater will depict the published clearances to combustibles for </w:t>
      </w:r>
      <w:r w:rsidR="004B7230">
        <w:rPr>
          <w:sz w:val="24"/>
          <w:szCs w:val="24"/>
        </w:rPr>
        <w:t>adherence</w:t>
      </w:r>
      <w:r>
        <w:rPr>
          <w:sz w:val="24"/>
          <w:szCs w:val="24"/>
        </w:rPr>
        <w:t xml:space="preserve"> during both installation and </w:t>
      </w:r>
      <w:r w:rsidR="004B7230">
        <w:rPr>
          <w:sz w:val="24"/>
          <w:szCs w:val="24"/>
        </w:rPr>
        <w:t>operation. Clearance safety tags restating this hazard shall also be provided and located near the heater’s control device.</w:t>
      </w:r>
    </w:p>
    <w:p w14:paraId="55935E73" w14:textId="7FC354CE" w:rsidR="00F91711" w:rsidRDefault="00F91711" w:rsidP="00F91711">
      <w:pPr>
        <w:pStyle w:val="ListParagraph"/>
        <w:numPr>
          <w:ilvl w:val="2"/>
          <w:numId w:val="2"/>
        </w:numPr>
        <w:spacing w:before="240"/>
        <w:contextualSpacing w:val="0"/>
        <w:rPr>
          <w:sz w:val="24"/>
          <w:szCs w:val="24"/>
        </w:rPr>
      </w:pPr>
      <w:r>
        <w:rPr>
          <w:sz w:val="24"/>
          <w:szCs w:val="24"/>
        </w:rPr>
        <w:t>Thermostat control shall be two</w:t>
      </w:r>
      <w:r w:rsidR="005D20A2">
        <w:rPr>
          <w:sz w:val="24"/>
          <w:szCs w:val="24"/>
        </w:rPr>
        <w:t xml:space="preserve"> </w:t>
      </w:r>
      <w:r>
        <w:rPr>
          <w:sz w:val="24"/>
          <w:szCs w:val="24"/>
        </w:rPr>
        <w:t xml:space="preserve">stage operating </w:t>
      </w:r>
      <w:r w:rsidR="00541F89">
        <w:rPr>
          <w:sz w:val="24"/>
          <w:szCs w:val="24"/>
        </w:rPr>
        <w:t>on 24 volts.</w:t>
      </w:r>
      <w:r>
        <w:rPr>
          <w:sz w:val="24"/>
          <w:szCs w:val="24"/>
        </w:rPr>
        <w:t xml:space="preserve"> </w:t>
      </w:r>
    </w:p>
    <w:p w14:paraId="6E448446" w14:textId="77777777" w:rsidR="00F91711" w:rsidRPr="00F91711" w:rsidRDefault="00F91711" w:rsidP="00F91711">
      <w:pPr>
        <w:spacing w:before="240"/>
        <w:ind w:left="720"/>
        <w:rPr>
          <w:sz w:val="24"/>
          <w:szCs w:val="24"/>
        </w:rPr>
      </w:pPr>
    </w:p>
    <w:p w14:paraId="5FF86BBF" w14:textId="77777777" w:rsidR="00A91168" w:rsidRDefault="00A91168" w:rsidP="00A91168">
      <w:pPr>
        <w:pStyle w:val="ListParagraph"/>
        <w:spacing w:before="240"/>
        <w:ind w:left="1080"/>
        <w:contextualSpacing w:val="0"/>
        <w:rPr>
          <w:sz w:val="24"/>
          <w:szCs w:val="24"/>
        </w:rPr>
      </w:pPr>
    </w:p>
    <w:p w14:paraId="78FDD681" w14:textId="77777777" w:rsidR="00590EA1" w:rsidRDefault="00590EA1" w:rsidP="00590EA1">
      <w:pPr>
        <w:pStyle w:val="ListParagraph"/>
        <w:spacing w:before="240"/>
        <w:ind w:left="0"/>
        <w:contextualSpacing w:val="0"/>
        <w:rPr>
          <w:sz w:val="24"/>
          <w:szCs w:val="24"/>
        </w:rPr>
      </w:pPr>
    </w:p>
    <w:p w14:paraId="6000751D" w14:textId="77777777" w:rsidR="0044757A" w:rsidRDefault="0044757A" w:rsidP="00FF79BF">
      <w:pPr>
        <w:spacing w:before="240"/>
        <w:contextualSpacing/>
        <w:rPr>
          <w:b/>
          <w:bCs/>
          <w:sz w:val="8"/>
          <w:szCs w:val="8"/>
        </w:rPr>
      </w:pPr>
    </w:p>
    <w:p w14:paraId="29B83719" w14:textId="77777777" w:rsidR="00504413" w:rsidRDefault="00504413" w:rsidP="00FF79BF">
      <w:pPr>
        <w:spacing w:before="240"/>
        <w:contextualSpacing/>
        <w:rPr>
          <w:b/>
          <w:bCs/>
          <w:sz w:val="24"/>
          <w:szCs w:val="24"/>
        </w:rPr>
      </w:pPr>
    </w:p>
    <w:p w14:paraId="6D119AFC" w14:textId="77777777" w:rsidR="005435AE" w:rsidRDefault="005435AE">
      <w:pPr>
        <w:rPr>
          <w:b/>
          <w:bCs/>
          <w:sz w:val="24"/>
          <w:szCs w:val="24"/>
        </w:rPr>
      </w:pPr>
      <w:r>
        <w:rPr>
          <w:b/>
          <w:bCs/>
          <w:sz w:val="24"/>
          <w:szCs w:val="24"/>
        </w:rPr>
        <w:br w:type="page"/>
      </w:r>
    </w:p>
    <w:p w14:paraId="38EFB340" w14:textId="6D3D8B30" w:rsidR="00803626" w:rsidRDefault="00803626" w:rsidP="00FF79BF">
      <w:pPr>
        <w:spacing w:before="240"/>
        <w:contextualSpacing/>
        <w:rPr>
          <w:sz w:val="24"/>
          <w:szCs w:val="24"/>
        </w:rPr>
      </w:pPr>
      <w:r>
        <w:rPr>
          <w:b/>
          <w:bCs/>
          <w:sz w:val="24"/>
          <w:szCs w:val="24"/>
        </w:rPr>
        <w:lastRenderedPageBreak/>
        <w:t>PART III – EXECUTION</w:t>
      </w:r>
    </w:p>
    <w:p w14:paraId="54B5A5E0" w14:textId="25871F2F" w:rsidR="00803626" w:rsidRDefault="00803626" w:rsidP="00803626">
      <w:pPr>
        <w:pStyle w:val="ListParagraph"/>
        <w:numPr>
          <w:ilvl w:val="1"/>
          <w:numId w:val="4"/>
        </w:numPr>
        <w:spacing w:before="240"/>
        <w:contextualSpacing w:val="0"/>
        <w:rPr>
          <w:sz w:val="24"/>
          <w:szCs w:val="24"/>
        </w:rPr>
      </w:pPr>
      <w:r>
        <w:rPr>
          <w:sz w:val="24"/>
          <w:szCs w:val="24"/>
        </w:rPr>
        <w:t>INSTALLATION</w:t>
      </w:r>
    </w:p>
    <w:p w14:paraId="2C54C275" w14:textId="7A8A851A" w:rsidR="00803626" w:rsidRDefault="00803626" w:rsidP="00803626">
      <w:pPr>
        <w:pStyle w:val="ListParagraph"/>
        <w:numPr>
          <w:ilvl w:val="2"/>
          <w:numId w:val="4"/>
        </w:numPr>
        <w:spacing w:before="240"/>
        <w:contextualSpacing w:val="0"/>
        <w:rPr>
          <w:sz w:val="24"/>
          <w:szCs w:val="24"/>
        </w:rPr>
      </w:pPr>
      <w:r>
        <w:rPr>
          <w:sz w:val="24"/>
          <w:szCs w:val="24"/>
        </w:rPr>
        <w:t>Install and connect gas-fired radiant heater</w:t>
      </w:r>
      <w:r w:rsidR="000B14E6">
        <w:rPr>
          <w:sz w:val="24"/>
          <w:szCs w:val="24"/>
        </w:rPr>
        <w:t xml:space="preserve">s, associated fuel and vent features, and system according to NFPA 54, applicable local codes and regulations, and manufacturer’s written installation instructions. </w:t>
      </w:r>
    </w:p>
    <w:p w14:paraId="2F21214B" w14:textId="69931FF5" w:rsidR="000B14E6" w:rsidRDefault="000B14E6" w:rsidP="00803626">
      <w:pPr>
        <w:pStyle w:val="ListParagraph"/>
        <w:numPr>
          <w:ilvl w:val="2"/>
          <w:numId w:val="4"/>
        </w:numPr>
        <w:spacing w:before="240"/>
        <w:contextualSpacing w:val="0"/>
        <w:rPr>
          <w:sz w:val="24"/>
          <w:szCs w:val="24"/>
        </w:rPr>
      </w:pPr>
      <w:r>
        <w:rPr>
          <w:sz w:val="24"/>
          <w:szCs w:val="24"/>
        </w:rPr>
        <w:t xml:space="preserve">Suspend </w:t>
      </w:r>
      <w:r w:rsidR="003658F3">
        <w:rPr>
          <w:sz w:val="24"/>
          <w:szCs w:val="24"/>
        </w:rPr>
        <w:t xml:space="preserve">heater </w:t>
      </w:r>
      <w:r>
        <w:rPr>
          <w:sz w:val="24"/>
          <w:szCs w:val="24"/>
        </w:rPr>
        <w:t xml:space="preserve">from substrate </w:t>
      </w:r>
      <w:r w:rsidR="003658F3">
        <w:rPr>
          <w:sz w:val="24"/>
          <w:szCs w:val="24"/>
        </w:rPr>
        <w:t xml:space="preserve">as per the manufacturer’s instructions using </w:t>
      </w:r>
      <w:r w:rsidR="0008595D">
        <w:rPr>
          <w:sz w:val="24"/>
          <w:szCs w:val="24"/>
        </w:rPr>
        <w:t>fittings</w:t>
      </w:r>
      <w:r w:rsidR="003658F3">
        <w:rPr>
          <w:sz w:val="24"/>
          <w:szCs w:val="24"/>
        </w:rPr>
        <w:t xml:space="preserve"> (chain, </w:t>
      </w:r>
      <w:r w:rsidR="00AC7DF4">
        <w:rPr>
          <w:sz w:val="24"/>
          <w:szCs w:val="24"/>
        </w:rPr>
        <w:t>cable</w:t>
      </w:r>
      <w:r w:rsidR="003658F3">
        <w:rPr>
          <w:sz w:val="24"/>
          <w:szCs w:val="24"/>
        </w:rPr>
        <w:t>, rod, etc.) rated for the working load</w:t>
      </w:r>
      <w:r w:rsidR="0008595D">
        <w:rPr>
          <w:sz w:val="24"/>
          <w:szCs w:val="24"/>
        </w:rPr>
        <w:t xml:space="preserve"> limit</w:t>
      </w:r>
      <w:r w:rsidR="003658F3">
        <w:rPr>
          <w:sz w:val="24"/>
          <w:szCs w:val="24"/>
        </w:rPr>
        <w:t xml:space="preserve"> and area conditions.</w:t>
      </w:r>
    </w:p>
    <w:p w14:paraId="36CB9F63" w14:textId="1D953976" w:rsidR="002717C0" w:rsidRDefault="002717C0" w:rsidP="00803626">
      <w:pPr>
        <w:pStyle w:val="ListParagraph"/>
        <w:numPr>
          <w:ilvl w:val="2"/>
          <w:numId w:val="4"/>
        </w:numPr>
        <w:spacing w:before="240"/>
        <w:contextualSpacing w:val="0"/>
        <w:rPr>
          <w:sz w:val="24"/>
          <w:szCs w:val="24"/>
        </w:rPr>
      </w:pPr>
      <w:r>
        <w:rPr>
          <w:sz w:val="24"/>
          <w:szCs w:val="24"/>
        </w:rPr>
        <w:t>Maintain manufacturer’s published clearances to combustibles.</w:t>
      </w:r>
      <w:r w:rsidR="0008595D">
        <w:rPr>
          <w:sz w:val="24"/>
          <w:szCs w:val="24"/>
        </w:rPr>
        <w:t xml:space="preserve"> </w:t>
      </w:r>
      <w:r w:rsidR="0008595D" w:rsidRPr="0008595D">
        <w:rPr>
          <w:sz w:val="24"/>
          <w:szCs w:val="24"/>
        </w:rPr>
        <w:t>In locations used for the storage of combustible materials, signs must be posted to specify the maximum permissible stacking height</w:t>
      </w:r>
      <w:r w:rsidR="00AE0539">
        <w:rPr>
          <w:sz w:val="24"/>
          <w:szCs w:val="24"/>
        </w:rPr>
        <w:t>.</w:t>
      </w:r>
    </w:p>
    <w:p w14:paraId="70BD1333" w14:textId="3C249557" w:rsidR="00803626" w:rsidRDefault="00803626" w:rsidP="00803626">
      <w:pPr>
        <w:pStyle w:val="ListParagraph"/>
        <w:numPr>
          <w:ilvl w:val="1"/>
          <w:numId w:val="4"/>
        </w:numPr>
        <w:spacing w:before="240"/>
        <w:contextualSpacing w:val="0"/>
        <w:rPr>
          <w:sz w:val="24"/>
          <w:szCs w:val="24"/>
        </w:rPr>
      </w:pPr>
      <w:r>
        <w:rPr>
          <w:sz w:val="24"/>
          <w:szCs w:val="24"/>
        </w:rPr>
        <w:t>CONNECTIONS</w:t>
      </w:r>
    </w:p>
    <w:p w14:paraId="62821082" w14:textId="5857B5E2" w:rsidR="00803626" w:rsidRDefault="00803626" w:rsidP="00803626">
      <w:pPr>
        <w:pStyle w:val="ListParagraph"/>
        <w:numPr>
          <w:ilvl w:val="2"/>
          <w:numId w:val="4"/>
        </w:numPr>
        <w:spacing w:before="240"/>
        <w:contextualSpacing w:val="0"/>
        <w:rPr>
          <w:sz w:val="24"/>
          <w:szCs w:val="24"/>
        </w:rPr>
      </w:pPr>
      <w:r>
        <w:rPr>
          <w:sz w:val="24"/>
          <w:szCs w:val="24"/>
        </w:rPr>
        <w:t>Piping and installation requirement</w:t>
      </w:r>
      <w:r w:rsidR="002717C0">
        <w:rPr>
          <w:sz w:val="24"/>
          <w:szCs w:val="24"/>
        </w:rPr>
        <w:t>s are specified in other Division 23 Sections.</w:t>
      </w:r>
    </w:p>
    <w:p w14:paraId="37E99351" w14:textId="663FDE75" w:rsidR="002717C0" w:rsidRDefault="002717C0" w:rsidP="00803626">
      <w:pPr>
        <w:pStyle w:val="ListParagraph"/>
        <w:numPr>
          <w:ilvl w:val="2"/>
          <w:numId w:val="4"/>
        </w:numPr>
        <w:spacing w:before="240"/>
        <w:contextualSpacing w:val="0"/>
        <w:rPr>
          <w:sz w:val="24"/>
          <w:szCs w:val="24"/>
        </w:rPr>
      </w:pPr>
      <w:r>
        <w:rPr>
          <w:sz w:val="24"/>
          <w:szCs w:val="24"/>
        </w:rPr>
        <w:t>Drawings indicate general arrangement of piping, fittings, and specialties.</w:t>
      </w:r>
    </w:p>
    <w:p w14:paraId="3B46220B" w14:textId="62468A33" w:rsidR="002717C0" w:rsidRDefault="002717C0" w:rsidP="006E534E">
      <w:pPr>
        <w:pStyle w:val="ListParagraph"/>
        <w:numPr>
          <w:ilvl w:val="3"/>
          <w:numId w:val="4"/>
        </w:numPr>
        <w:spacing w:before="240"/>
        <w:contextualSpacing w:val="0"/>
        <w:rPr>
          <w:sz w:val="24"/>
          <w:szCs w:val="24"/>
        </w:rPr>
      </w:pPr>
      <w:r>
        <w:rPr>
          <w:sz w:val="24"/>
          <w:szCs w:val="24"/>
        </w:rPr>
        <w:t xml:space="preserve">Install piping adjacent to gas-fired radiant heaters to allow service and maintenance. Refer to manufacturer’s instructions for proper gas connection details. </w:t>
      </w:r>
    </w:p>
    <w:p w14:paraId="4730B067" w14:textId="5812102F" w:rsidR="002717C0" w:rsidRDefault="002717C0" w:rsidP="00803626">
      <w:pPr>
        <w:pStyle w:val="ListParagraph"/>
        <w:numPr>
          <w:ilvl w:val="2"/>
          <w:numId w:val="4"/>
        </w:numPr>
        <w:spacing w:before="240"/>
        <w:contextualSpacing w:val="0"/>
        <w:rPr>
          <w:sz w:val="24"/>
          <w:szCs w:val="24"/>
        </w:rPr>
      </w:pPr>
      <w:r>
        <w:rPr>
          <w:sz w:val="24"/>
          <w:szCs w:val="24"/>
        </w:rPr>
        <w:t xml:space="preserve">Gas Piping: Comply with NFPA 54 and manufacturer’s installation instructions. </w:t>
      </w:r>
    </w:p>
    <w:p w14:paraId="4803D19C" w14:textId="7A48AED0" w:rsidR="002717C0" w:rsidRDefault="002717C0" w:rsidP="00803626">
      <w:pPr>
        <w:pStyle w:val="ListParagraph"/>
        <w:numPr>
          <w:ilvl w:val="2"/>
          <w:numId w:val="4"/>
        </w:numPr>
        <w:spacing w:before="240"/>
        <w:contextualSpacing w:val="0"/>
        <w:rPr>
          <w:sz w:val="24"/>
          <w:szCs w:val="24"/>
        </w:rPr>
      </w:pPr>
      <w:r>
        <w:rPr>
          <w:sz w:val="24"/>
          <w:szCs w:val="24"/>
        </w:rPr>
        <w:t xml:space="preserve">Vent Connections: Adhere to manufacturer’s installation instructions. </w:t>
      </w:r>
    </w:p>
    <w:p w14:paraId="51675E2B" w14:textId="10D5057C" w:rsidR="002717C0" w:rsidRDefault="002717C0" w:rsidP="00803626">
      <w:pPr>
        <w:pStyle w:val="ListParagraph"/>
        <w:numPr>
          <w:ilvl w:val="2"/>
          <w:numId w:val="4"/>
        </w:numPr>
        <w:spacing w:before="240"/>
        <w:contextualSpacing w:val="0"/>
        <w:rPr>
          <w:sz w:val="24"/>
          <w:szCs w:val="24"/>
        </w:rPr>
      </w:pPr>
      <w:r>
        <w:rPr>
          <w:sz w:val="24"/>
          <w:szCs w:val="24"/>
        </w:rPr>
        <w:t xml:space="preserve">Electrical Connections: Comply with applicable requirements in Division 26 Sections. Install electrical devices furnished with heaters but not specified to be factory mounted. </w:t>
      </w:r>
    </w:p>
    <w:p w14:paraId="574012C7" w14:textId="2B2919CF" w:rsidR="002717C0" w:rsidRDefault="002717C0" w:rsidP="002717C0">
      <w:pPr>
        <w:pStyle w:val="ListParagraph"/>
        <w:numPr>
          <w:ilvl w:val="1"/>
          <w:numId w:val="4"/>
        </w:numPr>
        <w:spacing w:before="240"/>
        <w:contextualSpacing w:val="0"/>
        <w:rPr>
          <w:sz w:val="24"/>
          <w:szCs w:val="24"/>
        </w:rPr>
      </w:pPr>
      <w:r>
        <w:rPr>
          <w:sz w:val="24"/>
          <w:szCs w:val="24"/>
        </w:rPr>
        <w:t>FIELD QUALITY CONTROL</w:t>
      </w:r>
    </w:p>
    <w:p w14:paraId="62CFED5E" w14:textId="00CA2EE0" w:rsidR="002717C0" w:rsidRDefault="002717C0" w:rsidP="002717C0">
      <w:pPr>
        <w:pStyle w:val="ListParagraph"/>
        <w:numPr>
          <w:ilvl w:val="2"/>
          <w:numId w:val="4"/>
        </w:numPr>
        <w:spacing w:before="240"/>
        <w:contextualSpacing w:val="0"/>
        <w:rPr>
          <w:sz w:val="24"/>
          <w:szCs w:val="24"/>
        </w:rPr>
      </w:pPr>
      <w:r>
        <w:rPr>
          <w:sz w:val="24"/>
          <w:szCs w:val="24"/>
        </w:rPr>
        <w:t>Manufacturer’s Field Service: Engage a factory-authorized service representative to inspect components, assemblies, and equipment installations, including connections, and to assist in testing.</w:t>
      </w:r>
    </w:p>
    <w:p w14:paraId="79BA423F" w14:textId="543488E7" w:rsidR="002717C0" w:rsidRDefault="002717C0" w:rsidP="006E534E">
      <w:pPr>
        <w:pStyle w:val="ListParagraph"/>
        <w:numPr>
          <w:ilvl w:val="2"/>
          <w:numId w:val="4"/>
        </w:numPr>
        <w:spacing w:before="240" w:line="240" w:lineRule="auto"/>
        <w:rPr>
          <w:sz w:val="24"/>
          <w:szCs w:val="24"/>
        </w:rPr>
      </w:pPr>
      <w:r>
        <w:rPr>
          <w:sz w:val="24"/>
          <w:szCs w:val="24"/>
        </w:rPr>
        <w:t xml:space="preserve">Replace damaged and malfunctioning controls and equipment. </w:t>
      </w:r>
    </w:p>
    <w:p w14:paraId="7E74F3D6" w14:textId="67BB447D" w:rsidR="006E534E" w:rsidRDefault="006E534E" w:rsidP="006E534E">
      <w:pPr>
        <w:pStyle w:val="ListParagraph"/>
        <w:spacing w:before="240" w:line="240" w:lineRule="auto"/>
        <w:ind w:left="1080"/>
        <w:rPr>
          <w:sz w:val="24"/>
          <w:szCs w:val="24"/>
        </w:rPr>
      </w:pPr>
    </w:p>
    <w:p w14:paraId="70EFF7CB" w14:textId="4C3DFC01" w:rsidR="00E60383" w:rsidRPr="00E37551" w:rsidRDefault="002717C0" w:rsidP="00AC7DF4">
      <w:pPr>
        <w:pStyle w:val="ListParagraph"/>
        <w:spacing w:before="240" w:line="240" w:lineRule="auto"/>
        <w:ind w:left="0"/>
        <w:jc w:val="center"/>
        <w:rPr>
          <w:sz w:val="24"/>
          <w:szCs w:val="24"/>
        </w:rPr>
      </w:pPr>
      <w:r>
        <w:rPr>
          <w:b/>
          <w:bCs/>
          <w:sz w:val="24"/>
          <w:szCs w:val="24"/>
        </w:rPr>
        <w:t>END OF SECTION 235523</w:t>
      </w:r>
    </w:p>
    <w:sectPr w:rsidR="00E60383" w:rsidRPr="00E37551" w:rsidSect="00504413">
      <w:headerReference w:type="default" r:id="rId7"/>
      <w:footerReference w:type="default" r:id="rId8"/>
      <w:pgSz w:w="12240" w:h="15840"/>
      <w:pgMar w:top="19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E084" w14:textId="77777777" w:rsidR="00803626" w:rsidRDefault="00803626" w:rsidP="00803626">
      <w:pPr>
        <w:spacing w:after="0" w:line="240" w:lineRule="auto"/>
      </w:pPr>
      <w:r>
        <w:separator/>
      </w:r>
    </w:p>
  </w:endnote>
  <w:endnote w:type="continuationSeparator" w:id="0">
    <w:p w14:paraId="462FDE92" w14:textId="77777777" w:rsidR="00803626" w:rsidRDefault="00803626" w:rsidP="0080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9549" w14:textId="35A17509" w:rsidR="00803626" w:rsidRDefault="00803626" w:rsidP="00803626">
    <w:pPr>
      <w:pStyle w:val="Footer"/>
    </w:pPr>
    <w:r w:rsidRPr="000E59B8">
      <w:t xml:space="preserve">DETROIT RADIANT PRODUCTS COMPANY </w:t>
    </w:r>
    <w:r>
      <w:tab/>
    </w:r>
    <w:r>
      <w:tab/>
    </w:r>
    <w:r w:rsidR="00C55353" w:rsidRPr="00C45768">
      <w:t>REV</w:t>
    </w:r>
    <w:r w:rsidRPr="00C45768">
      <w:t xml:space="preserve"> SERIES INFRARED </w:t>
    </w:r>
    <w:r w:rsidR="00A21D8B" w:rsidRPr="00C45768">
      <w:t xml:space="preserve">RADIANT </w:t>
    </w:r>
    <w:r w:rsidRPr="00C45768">
      <w:t>HEATER</w:t>
    </w:r>
  </w:p>
  <w:p w14:paraId="7F98926C" w14:textId="1A3C25B7" w:rsidR="00803626" w:rsidRPr="00803626" w:rsidRDefault="00803626" w:rsidP="00803626">
    <w:pPr>
      <w:pStyle w:val="Footer"/>
      <w:jc w:val="right"/>
      <w:rPr>
        <w:color w:val="7F7F7F" w:themeColor="text1" w:themeTint="80"/>
        <w:sz w:val="18"/>
      </w:rPr>
    </w:pPr>
    <w:r>
      <w:rPr>
        <w:color w:val="7F7F7F" w:themeColor="text1" w:themeTint="80"/>
        <w:sz w:val="18"/>
      </w:rPr>
      <w:t>©202</w:t>
    </w:r>
    <w:r w:rsidR="00C55353">
      <w:rPr>
        <w:color w:val="7F7F7F" w:themeColor="text1" w:themeTint="80"/>
        <w:sz w:val="18"/>
      </w:rPr>
      <w:t>2</w:t>
    </w:r>
    <w:r>
      <w:rPr>
        <w:color w:val="7F7F7F" w:themeColor="text1" w:themeTint="80"/>
        <w:sz w:val="18"/>
      </w:rPr>
      <w:t xml:space="preserve"> WWW.REVERBERRAY.COM</w:t>
    </w:r>
    <w:r>
      <w:rPr>
        <w:color w:val="7F7F7F" w:themeColor="text1" w:themeTint="80"/>
        <w:sz w:val="18"/>
      </w:rPr>
      <w:tab/>
    </w:r>
    <w:r>
      <w:rPr>
        <w:color w:val="7F7F7F" w:themeColor="text1" w:themeTint="80"/>
        <w:sz w:val="18"/>
      </w:rPr>
      <w:tab/>
    </w:r>
    <w:r w:rsidRPr="000E59B8">
      <w:rPr>
        <w:color w:val="7F7F7F" w:themeColor="text1" w:themeTint="80"/>
        <w:sz w:val="18"/>
      </w:rPr>
      <w:t>LIO</w:t>
    </w:r>
    <w:r w:rsidR="0052520B">
      <w:rPr>
        <w:color w:val="7F7F7F" w:themeColor="text1" w:themeTint="80"/>
        <w:sz w:val="18"/>
      </w:rPr>
      <w:t>TPS</w:t>
    </w:r>
    <w:r>
      <w:rPr>
        <w:color w:val="7F7F7F" w:themeColor="text1" w:themeTint="80"/>
        <w:sz w:val="18"/>
      </w:rPr>
      <w:t>_</w:t>
    </w:r>
    <w:r w:rsidR="00C55353">
      <w:rPr>
        <w:color w:val="7F7F7F" w:themeColor="text1" w:themeTint="80"/>
        <w:sz w:val="18"/>
      </w:rPr>
      <w:t>REV</w:t>
    </w:r>
    <w:r w:rsidRPr="000E59B8">
      <w:rPr>
        <w:color w:val="7F7F7F" w:themeColor="text1" w:themeTint="80"/>
        <w:sz w:val="18"/>
      </w:rPr>
      <w:t xml:space="preserve"> | REV. </w:t>
    </w:r>
    <w:r w:rsidR="00C55353">
      <w:rPr>
        <w:color w:val="7F7F7F" w:themeColor="text1" w:themeTint="80"/>
        <w:sz w:val="18"/>
      </w:rPr>
      <w:t>0</w:t>
    </w:r>
    <w:r w:rsidR="009C0FC0">
      <w:rPr>
        <w:color w:val="7F7F7F" w:themeColor="text1" w:themeTint="80"/>
        <w:sz w:val="18"/>
      </w:rPr>
      <w:t>4</w:t>
    </w:r>
    <w:r w:rsidR="00C55353">
      <w:rPr>
        <w:color w:val="7F7F7F" w:themeColor="text1" w:themeTint="80"/>
        <w:sz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0789" w14:textId="77777777" w:rsidR="00803626" w:rsidRDefault="00803626" w:rsidP="00803626">
      <w:pPr>
        <w:spacing w:after="0" w:line="240" w:lineRule="auto"/>
      </w:pPr>
      <w:r>
        <w:separator/>
      </w:r>
    </w:p>
  </w:footnote>
  <w:footnote w:type="continuationSeparator" w:id="0">
    <w:p w14:paraId="2AC74366" w14:textId="77777777" w:rsidR="00803626" w:rsidRDefault="00803626" w:rsidP="0080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6711"/>
      <w:docPartObj>
        <w:docPartGallery w:val="Page Numbers (Top of Page)"/>
        <w:docPartUnique/>
      </w:docPartObj>
    </w:sdtPr>
    <w:sdtEndPr>
      <w:rPr>
        <w:noProof/>
      </w:rPr>
    </w:sdtEndPr>
    <w:sdtContent>
      <w:p w14:paraId="3CC2A845" w14:textId="0B5F2FCD" w:rsidR="00803626" w:rsidRPr="00803626" w:rsidRDefault="00803626" w:rsidP="00803626">
        <w:pPr>
          <w:pStyle w:val="Header"/>
          <w:rPr>
            <w:b/>
            <w:bCs/>
            <w:sz w:val="24"/>
            <w:szCs w:val="24"/>
          </w:rPr>
        </w:pPr>
        <w:r w:rsidRPr="00031D26">
          <w:rPr>
            <w:b/>
            <w:bCs/>
            <w:sz w:val="24"/>
            <w:szCs w:val="24"/>
          </w:rPr>
          <w:t xml:space="preserve">SECTION 235523 </w:t>
        </w:r>
        <w:r>
          <w:rPr>
            <w:b/>
            <w:bCs/>
            <w:sz w:val="24"/>
            <w:szCs w:val="24"/>
          </w:rPr>
          <w:t>| 15</w:t>
        </w:r>
        <w:r w:rsidR="00B6688D">
          <w:rPr>
            <w:b/>
            <w:bCs/>
            <w:sz w:val="24"/>
            <w:szCs w:val="24"/>
          </w:rPr>
          <w:t>540</w:t>
        </w:r>
        <w:r w:rsidRPr="00031D26">
          <w:rPr>
            <w:sz w:val="24"/>
            <w:szCs w:val="24"/>
          </w:rPr>
          <w:tab/>
        </w:r>
        <w:r w:rsidRPr="00031D26">
          <w:rPr>
            <w:sz w:val="24"/>
            <w:szCs w:val="24"/>
          </w:rPr>
          <w:tab/>
        </w:r>
        <w:r w:rsidRPr="00803626">
          <w:rPr>
            <w:b/>
            <w:bCs/>
            <w:sz w:val="24"/>
            <w:szCs w:val="24"/>
          </w:rPr>
          <w:t xml:space="preserve">PAGE </w:t>
        </w:r>
        <w:r w:rsidRPr="00803626">
          <w:rPr>
            <w:b/>
            <w:bCs/>
            <w:sz w:val="24"/>
            <w:szCs w:val="24"/>
          </w:rPr>
          <w:fldChar w:fldCharType="begin"/>
        </w:r>
        <w:r w:rsidRPr="00803626">
          <w:rPr>
            <w:b/>
            <w:bCs/>
            <w:sz w:val="24"/>
            <w:szCs w:val="24"/>
          </w:rPr>
          <w:instrText xml:space="preserve"> PAGE   \* MERGEFORMAT </w:instrText>
        </w:r>
        <w:r w:rsidRPr="00803626">
          <w:rPr>
            <w:b/>
            <w:bCs/>
            <w:sz w:val="24"/>
            <w:szCs w:val="24"/>
          </w:rPr>
          <w:fldChar w:fldCharType="separate"/>
        </w:r>
        <w:r w:rsidRPr="00803626">
          <w:rPr>
            <w:b/>
            <w:bCs/>
            <w:sz w:val="24"/>
            <w:szCs w:val="24"/>
          </w:rPr>
          <w:t>1</w:t>
        </w:r>
        <w:r w:rsidRPr="00803626">
          <w:rPr>
            <w:b/>
            <w:bCs/>
            <w:noProof/>
            <w:sz w:val="24"/>
            <w:szCs w:val="24"/>
          </w:rPr>
          <w:fldChar w:fldCharType="end"/>
        </w:r>
      </w:p>
      <w:p w14:paraId="12BE20EE" w14:textId="40C537A3" w:rsidR="00803626" w:rsidRPr="00031D26" w:rsidRDefault="00803626" w:rsidP="00803626">
        <w:pPr>
          <w:pStyle w:val="Header"/>
          <w:rPr>
            <w:sz w:val="24"/>
            <w:szCs w:val="24"/>
          </w:rPr>
        </w:pPr>
        <w:r w:rsidRPr="00031D26">
          <w:rPr>
            <w:sz w:val="24"/>
            <w:szCs w:val="24"/>
          </w:rPr>
          <w:t>GAS-FIRED, LOW</w:t>
        </w:r>
        <w:r w:rsidR="00B6688D">
          <w:rPr>
            <w:sz w:val="24"/>
            <w:szCs w:val="24"/>
          </w:rPr>
          <w:t xml:space="preserve"> </w:t>
        </w:r>
        <w:r w:rsidRPr="00031D26">
          <w:rPr>
            <w:sz w:val="24"/>
            <w:szCs w:val="24"/>
          </w:rPr>
          <w:t>INTENSITY, INFRARED</w:t>
        </w:r>
        <w:r w:rsidR="00A21D8B">
          <w:rPr>
            <w:sz w:val="24"/>
            <w:szCs w:val="24"/>
          </w:rPr>
          <w:t xml:space="preserve"> RADIANT</w:t>
        </w:r>
        <w:r w:rsidRPr="00031D26">
          <w:rPr>
            <w:sz w:val="24"/>
            <w:szCs w:val="24"/>
          </w:rPr>
          <w:t xml:space="preserve"> HEATERS</w:t>
        </w:r>
        <w:r>
          <w:rPr>
            <w:sz w:val="24"/>
            <w:szCs w:val="24"/>
          </w:rPr>
          <w:tab/>
        </w:r>
      </w:p>
      <w:p w14:paraId="24EDA612" w14:textId="77777777" w:rsidR="00803626" w:rsidRDefault="00803626" w:rsidP="00803626">
        <w:pPr>
          <w:pStyle w:val="Header"/>
          <w:rPr>
            <w:noProof/>
          </w:rPr>
        </w:pPr>
        <w:r w:rsidRPr="00031D26">
          <w:rPr>
            <w:color w:val="0D0D0D" w:themeColor="text1" w:themeTint="F2"/>
            <w:sz w:val="24"/>
            <w:szCs w:val="24"/>
          </w:rPr>
          <w:t>SHORT FORM SPECIFICATIONS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41D"/>
    <w:multiLevelType w:val="multilevel"/>
    <w:tmpl w:val="6C6C03D4"/>
    <w:lvl w:ilvl="0">
      <w:start w:val="2"/>
      <w:numFmt w:val="none"/>
      <w:lvlText w:val="%1"/>
      <w:lvlJc w:val="left"/>
      <w:pPr>
        <w:ind w:left="0" w:firstLine="0"/>
      </w:pPr>
      <w:rPr>
        <w:rFonts w:asciiTheme="minorHAnsi" w:hAnsiTheme="minorHAnsi" w:hint="default"/>
        <w:b/>
        <w:sz w:val="24"/>
        <w:szCs w:val="24"/>
      </w:rPr>
    </w:lvl>
    <w:lvl w:ilvl="1">
      <w:start w:val="1"/>
      <w:numFmt w:val="decimal"/>
      <w:lvlText w:val="2.%2"/>
      <w:lvlJc w:val="left"/>
      <w:pPr>
        <w:ind w:left="0" w:firstLine="0"/>
      </w:pPr>
      <w:rPr>
        <w:rFonts w:ascii="Calibri" w:hAnsi="Calibri" w:hint="default"/>
        <w:b w:val="0"/>
        <w:i w:val="0"/>
        <w:sz w:val="24"/>
      </w:rPr>
    </w:lvl>
    <w:lvl w:ilvl="2">
      <w:start w:val="1"/>
      <w:numFmt w:val="lowerLetter"/>
      <w:lvlText w:val="%3."/>
      <w:lvlJc w:val="left"/>
      <w:pPr>
        <w:ind w:left="1080" w:hanging="360"/>
      </w:pPr>
      <w:rPr>
        <w:rFonts w:ascii="Calibri" w:hAnsi="Calibri" w:hint="default"/>
        <w:b w:val="0"/>
        <w:i w:val="0"/>
        <w:sz w:val="24"/>
      </w:rPr>
    </w:lvl>
    <w:lvl w:ilvl="3">
      <w:start w:val="1"/>
      <w:numFmt w:val="lowerRoman"/>
      <w:lvlText w:val="%4."/>
      <w:lvlJc w:val="left"/>
      <w:pPr>
        <w:ind w:left="2088" w:hanging="432"/>
      </w:pPr>
      <w:rPr>
        <w:rFonts w:ascii="Calibri" w:hAnsi="Calibri" w:hint="default"/>
        <w:b w:val="0"/>
        <w:i w:val="0"/>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118C5A21"/>
    <w:multiLevelType w:val="multilevel"/>
    <w:tmpl w:val="A3D49B9A"/>
    <w:lvl w:ilvl="0">
      <w:start w:val="1"/>
      <w:numFmt w:val="none"/>
      <w:lvlText w:val="%1"/>
      <w:lvlJc w:val="left"/>
      <w:pPr>
        <w:ind w:left="0" w:firstLine="0"/>
      </w:pPr>
      <w:rPr>
        <w:rFonts w:asciiTheme="minorHAnsi" w:hAnsiTheme="minorHAnsi" w:hint="default"/>
        <w:b/>
        <w:sz w:val="24"/>
        <w:szCs w:val="24"/>
      </w:rPr>
    </w:lvl>
    <w:lvl w:ilvl="1">
      <w:start w:val="1"/>
      <w:numFmt w:val="decimal"/>
      <w:lvlText w:val="1.%2"/>
      <w:lvlJc w:val="left"/>
      <w:pPr>
        <w:ind w:left="0" w:firstLine="0"/>
      </w:pPr>
      <w:rPr>
        <w:rFonts w:ascii="Calibri" w:hAnsi="Calibri" w:hint="default"/>
        <w:b w:val="0"/>
        <w:i w:val="0"/>
        <w:sz w:val="24"/>
      </w:rPr>
    </w:lvl>
    <w:lvl w:ilvl="2">
      <w:start w:val="1"/>
      <w:numFmt w:val="lowerLetter"/>
      <w:lvlText w:val="%3."/>
      <w:lvlJc w:val="left"/>
      <w:pPr>
        <w:ind w:left="1080" w:hanging="360"/>
      </w:pPr>
      <w:rPr>
        <w:rFonts w:ascii="Calibri" w:hAnsi="Calibri" w:hint="default"/>
        <w:b w:val="0"/>
        <w:i w:val="0"/>
        <w:sz w:val="24"/>
      </w:rPr>
    </w:lvl>
    <w:lvl w:ilvl="3">
      <w:start w:val="1"/>
      <w:numFmt w:val="lowerRoman"/>
      <w:lvlText w:val="%4."/>
      <w:lvlJc w:val="left"/>
      <w:pPr>
        <w:ind w:left="2088" w:hanging="432"/>
      </w:pPr>
      <w:rPr>
        <w:rFonts w:ascii="Calibri" w:hAnsi="Calibri" w:hint="default"/>
        <w:b w:val="0"/>
        <w:i w:val="0"/>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14F36B74"/>
    <w:multiLevelType w:val="multilevel"/>
    <w:tmpl w:val="13449A84"/>
    <w:lvl w:ilvl="0">
      <w:start w:val="1"/>
      <w:numFmt w:val="decimal"/>
      <w:lvlText w:val="%1"/>
      <w:lvlJc w:val="left"/>
      <w:pPr>
        <w:ind w:left="720" w:hanging="720"/>
      </w:pPr>
      <w:rPr>
        <w:rFonts w:hint="default"/>
      </w:rPr>
    </w:lvl>
    <w:lvl w:ilvl="1">
      <w:start w:val="3"/>
      <w:numFmt w:val="decimal"/>
      <w:lvlText w:val="3.%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E44919"/>
    <w:multiLevelType w:val="multilevel"/>
    <w:tmpl w:val="3AB8F17A"/>
    <w:lvl w:ilvl="0">
      <w:start w:val="2"/>
      <w:numFmt w:val="none"/>
      <w:lvlText w:val="%1"/>
      <w:lvlJc w:val="left"/>
      <w:pPr>
        <w:ind w:left="0" w:firstLine="0"/>
      </w:pPr>
      <w:rPr>
        <w:rFonts w:asciiTheme="minorHAnsi" w:hAnsiTheme="minorHAnsi" w:hint="default"/>
        <w:b/>
        <w:sz w:val="24"/>
        <w:szCs w:val="24"/>
      </w:rPr>
    </w:lvl>
    <w:lvl w:ilvl="1">
      <w:start w:val="1"/>
      <w:numFmt w:val="decimal"/>
      <w:lvlText w:val="3.%2"/>
      <w:lvlJc w:val="left"/>
      <w:pPr>
        <w:ind w:left="0" w:firstLine="0"/>
      </w:pPr>
      <w:rPr>
        <w:rFonts w:ascii="Calibri" w:hAnsi="Calibri" w:hint="default"/>
        <w:b w:val="0"/>
        <w:i w:val="0"/>
        <w:sz w:val="24"/>
      </w:rPr>
    </w:lvl>
    <w:lvl w:ilvl="2">
      <w:start w:val="1"/>
      <w:numFmt w:val="lowerLetter"/>
      <w:lvlText w:val="%3."/>
      <w:lvlJc w:val="left"/>
      <w:pPr>
        <w:ind w:left="1080" w:hanging="360"/>
      </w:pPr>
      <w:rPr>
        <w:rFonts w:ascii="Calibri" w:hAnsi="Calibri" w:hint="default"/>
        <w:b w:val="0"/>
        <w:i w:val="0"/>
        <w:sz w:val="24"/>
      </w:rPr>
    </w:lvl>
    <w:lvl w:ilvl="3">
      <w:start w:val="1"/>
      <w:numFmt w:val="lowerRoman"/>
      <w:lvlText w:val="%4."/>
      <w:lvlJc w:val="left"/>
      <w:pPr>
        <w:ind w:left="2088" w:hanging="432"/>
      </w:pPr>
      <w:rPr>
        <w:rFonts w:ascii="Calibri" w:hAnsi="Calibri" w:hint="default"/>
        <w:b w:val="0"/>
        <w:i w:val="0"/>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639E032C"/>
    <w:multiLevelType w:val="multilevel"/>
    <w:tmpl w:val="B11625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1533334">
    <w:abstractNumId w:val="1"/>
  </w:num>
  <w:num w:numId="2" w16cid:durableId="421687381">
    <w:abstractNumId w:val="0"/>
  </w:num>
  <w:num w:numId="3" w16cid:durableId="190925223">
    <w:abstractNumId w:val="2"/>
  </w:num>
  <w:num w:numId="4" w16cid:durableId="445347731">
    <w:abstractNumId w:val="3"/>
  </w:num>
  <w:num w:numId="5" w16cid:durableId="471098038">
    <w:abstractNumId w:val="4"/>
  </w:num>
  <w:num w:numId="6" w16cid:durableId="156082458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4D"/>
    <w:rsid w:val="00013FB5"/>
    <w:rsid w:val="00035E65"/>
    <w:rsid w:val="00081B2C"/>
    <w:rsid w:val="00081C17"/>
    <w:rsid w:val="000830C4"/>
    <w:rsid w:val="0008595D"/>
    <w:rsid w:val="00091419"/>
    <w:rsid w:val="00096E1A"/>
    <w:rsid w:val="000A578D"/>
    <w:rsid w:val="000B14E6"/>
    <w:rsid w:val="00126DA9"/>
    <w:rsid w:val="00146111"/>
    <w:rsid w:val="00152F3D"/>
    <w:rsid w:val="00180751"/>
    <w:rsid w:val="001C50CE"/>
    <w:rsid w:val="001D5BB8"/>
    <w:rsid w:val="001E2F54"/>
    <w:rsid w:val="001E544D"/>
    <w:rsid w:val="00251C52"/>
    <w:rsid w:val="002717C0"/>
    <w:rsid w:val="002F1A77"/>
    <w:rsid w:val="003658F3"/>
    <w:rsid w:val="0038312F"/>
    <w:rsid w:val="003C14E7"/>
    <w:rsid w:val="003E4D92"/>
    <w:rsid w:val="003F01BD"/>
    <w:rsid w:val="00405CED"/>
    <w:rsid w:val="004456F7"/>
    <w:rsid w:val="0044757A"/>
    <w:rsid w:val="004B2C7C"/>
    <w:rsid w:val="004B7230"/>
    <w:rsid w:val="004D0FF0"/>
    <w:rsid w:val="00504413"/>
    <w:rsid w:val="00521D48"/>
    <w:rsid w:val="0052520B"/>
    <w:rsid w:val="00541F89"/>
    <w:rsid w:val="005435AE"/>
    <w:rsid w:val="0057691F"/>
    <w:rsid w:val="00590EA1"/>
    <w:rsid w:val="00597E83"/>
    <w:rsid w:val="005D20A2"/>
    <w:rsid w:val="005F0A50"/>
    <w:rsid w:val="005F55BC"/>
    <w:rsid w:val="005F5CD4"/>
    <w:rsid w:val="006077AA"/>
    <w:rsid w:val="00621DFD"/>
    <w:rsid w:val="006233FC"/>
    <w:rsid w:val="006411D0"/>
    <w:rsid w:val="00665C2A"/>
    <w:rsid w:val="006728D1"/>
    <w:rsid w:val="006822ED"/>
    <w:rsid w:val="00691781"/>
    <w:rsid w:val="006E534E"/>
    <w:rsid w:val="00790216"/>
    <w:rsid w:val="007E0F74"/>
    <w:rsid w:val="00803626"/>
    <w:rsid w:val="008636C8"/>
    <w:rsid w:val="00877AA5"/>
    <w:rsid w:val="00891667"/>
    <w:rsid w:val="00912D16"/>
    <w:rsid w:val="00945DF2"/>
    <w:rsid w:val="0094609C"/>
    <w:rsid w:val="009601F6"/>
    <w:rsid w:val="009C0FC0"/>
    <w:rsid w:val="00A1202D"/>
    <w:rsid w:val="00A21D8B"/>
    <w:rsid w:val="00A25390"/>
    <w:rsid w:val="00A904EB"/>
    <w:rsid w:val="00A91168"/>
    <w:rsid w:val="00AC7DF4"/>
    <w:rsid w:val="00AE0539"/>
    <w:rsid w:val="00AF29A5"/>
    <w:rsid w:val="00B57262"/>
    <w:rsid w:val="00B6688D"/>
    <w:rsid w:val="00B74B6C"/>
    <w:rsid w:val="00B848ED"/>
    <w:rsid w:val="00B92836"/>
    <w:rsid w:val="00BC5B39"/>
    <w:rsid w:val="00BC7F00"/>
    <w:rsid w:val="00BD5FF2"/>
    <w:rsid w:val="00BE30A9"/>
    <w:rsid w:val="00BE75D7"/>
    <w:rsid w:val="00C26D21"/>
    <w:rsid w:val="00C45768"/>
    <w:rsid w:val="00C45E2B"/>
    <w:rsid w:val="00C54841"/>
    <w:rsid w:val="00C55353"/>
    <w:rsid w:val="00C7168B"/>
    <w:rsid w:val="00C87D59"/>
    <w:rsid w:val="00C9083A"/>
    <w:rsid w:val="00C94426"/>
    <w:rsid w:val="00CB62E0"/>
    <w:rsid w:val="00CD17B8"/>
    <w:rsid w:val="00CD6286"/>
    <w:rsid w:val="00CD7631"/>
    <w:rsid w:val="00D13C07"/>
    <w:rsid w:val="00D21D6A"/>
    <w:rsid w:val="00D34109"/>
    <w:rsid w:val="00D4077D"/>
    <w:rsid w:val="00D80144"/>
    <w:rsid w:val="00DD031D"/>
    <w:rsid w:val="00E37551"/>
    <w:rsid w:val="00E47EF1"/>
    <w:rsid w:val="00E60383"/>
    <w:rsid w:val="00EE643F"/>
    <w:rsid w:val="00F23731"/>
    <w:rsid w:val="00F91711"/>
    <w:rsid w:val="00FC347B"/>
    <w:rsid w:val="00FF7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5DCD7B"/>
  <w15:chartTrackingRefBased/>
  <w15:docId w15:val="{F6590D70-6960-422B-A8DA-4CF0E31D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4D"/>
    <w:pPr>
      <w:ind w:left="720"/>
      <w:contextualSpacing/>
    </w:pPr>
  </w:style>
  <w:style w:type="paragraph" w:styleId="Header">
    <w:name w:val="header"/>
    <w:basedOn w:val="Normal"/>
    <w:link w:val="HeaderChar"/>
    <w:uiPriority w:val="99"/>
    <w:unhideWhenUsed/>
    <w:rsid w:val="0080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626"/>
  </w:style>
  <w:style w:type="paragraph" w:styleId="Footer">
    <w:name w:val="footer"/>
    <w:basedOn w:val="Normal"/>
    <w:link w:val="FooterChar"/>
    <w:uiPriority w:val="99"/>
    <w:unhideWhenUsed/>
    <w:rsid w:val="0080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9298">
      <w:bodyDiv w:val="1"/>
      <w:marLeft w:val="0"/>
      <w:marRight w:val="0"/>
      <w:marTop w:val="0"/>
      <w:marBottom w:val="0"/>
      <w:divBdr>
        <w:top w:val="none" w:sz="0" w:space="0" w:color="auto"/>
        <w:left w:val="none" w:sz="0" w:space="0" w:color="auto"/>
        <w:bottom w:val="none" w:sz="0" w:space="0" w:color="auto"/>
        <w:right w:val="none" w:sz="0" w:space="0" w:color="auto"/>
      </w:divBdr>
    </w:div>
    <w:div w:id="677774990">
      <w:bodyDiv w:val="1"/>
      <w:marLeft w:val="0"/>
      <w:marRight w:val="0"/>
      <w:marTop w:val="0"/>
      <w:marBottom w:val="0"/>
      <w:divBdr>
        <w:top w:val="none" w:sz="0" w:space="0" w:color="auto"/>
        <w:left w:val="none" w:sz="0" w:space="0" w:color="auto"/>
        <w:bottom w:val="none" w:sz="0" w:space="0" w:color="auto"/>
        <w:right w:val="none" w:sz="0" w:space="0" w:color="auto"/>
      </w:divBdr>
    </w:div>
    <w:div w:id="20746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Pyne</dc:creator>
  <cp:keywords/>
  <dc:description/>
  <cp:lastModifiedBy>Sarah Pyne</cp:lastModifiedBy>
  <cp:revision>3</cp:revision>
  <cp:lastPrinted>2022-03-10T16:28:00Z</cp:lastPrinted>
  <dcterms:created xsi:type="dcterms:W3CDTF">2022-04-06T13:16:00Z</dcterms:created>
  <dcterms:modified xsi:type="dcterms:W3CDTF">2022-04-11T14:43:00Z</dcterms:modified>
</cp:coreProperties>
</file>